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fencf-20260630x10q.htm"/>
        <w:bookmarkStart w:id="1" w:name="ksfencf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rFonts w:ascii="Times New Roman;Times;serif" w:hAnsi="Times New Roman;Times;serif"/>
          <w:b/>
          <w:sz w:val="2"/>
        </w:rPr>
      </w:pPr>
      <w:r>
        <w:rPr>
          <w:rFonts w:ascii="Times New Roman;Times;serif" w:hAnsi="Times New Roman;Times;serif"/>
          <w:b/>
          <w:sz w:val="2"/>
        </w:rPr>
        <w:t>.</w:t>
      </w:r>
    </w:p>
    <w:p>
      <w:pPr>
        <w:pStyle w:val="TextBody"/>
        <w:bidi w:val="0"/>
        <w:spacing w:before="0" w:after="0"/>
        <w:ind w:left="0" w:right="0" w:hanging="0"/>
        <w:jc w:val="center"/>
        <w:rPr/>
      </w:pPr>
      <w:bookmarkStart w:id="2" w:name="_89db7913_3150_418c_bec9_52fa854eccf6"/>
      <w:bookmarkEnd w:id="2"/>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FORM 10-Q</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 One)</w:t>
      </w:r>
    </w:p>
    <w:tbl>
      <w:tblPr>
        <w:tblW w:w="10205" w:type="dxa"/>
        <w:jc w:val="left"/>
        <w:tblInd w:w="0" w:type="dxa"/>
        <w:tblLayout w:type="fixed"/>
        <w:tblCellMar>
          <w:top w:w="0" w:type="dxa"/>
          <w:left w:w="0" w:type="dxa"/>
          <w:bottom w:w="0" w:type="dxa"/>
          <w:right w:w="0" w:type="dxa"/>
        </w:tblCellMar>
      </w:tblPr>
      <w:tblGrid>
        <w:gridCol w:w="124"/>
        <w:gridCol w:w="4177"/>
        <w:gridCol w:w="590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4177" w:type="dxa"/>
            <w:tcBorders/>
            <w:vAlign w:val="center"/>
          </w:tcPr>
          <w:p>
            <w:pPr>
              <w:pStyle w:val="TableContents"/>
              <w:bidi w:val="0"/>
              <w:spacing w:before="0" w:after="283"/>
              <w:ind w:left="0" w:right="0" w:hanging="0"/>
              <w:jc w:val="left"/>
              <w:rPr>
                <w:sz w:val="4"/>
                <w:szCs w:val="4"/>
              </w:rPr>
            </w:pPr>
            <w:r>
              <w:rPr>
                <w:sz w:val="4"/>
                <w:szCs w:val="4"/>
              </w:rPr>
            </w:r>
          </w:p>
        </w:tc>
        <w:tc>
          <w:tcPr>
            <w:tcW w:w="590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081" w:type="dxa"/>
            <w:gridSpan w:val="2"/>
            <w:tcBorders/>
            <w:vAlign w:val="center"/>
          </w:tcPr>
          <w:p>
            <w:pPr>
              <w:pStyle w:val="TableContents"/>
              <w:bidi w:val="0"/>
              <w:spacing w:before="0" w:after="0"/>
              <w:ind w:left="0" w:right="0" w:hanging="0"/>
              <w:jc w:val="left"/>
              <w:rPr/>
            </w:pPr>
            <w:r>
              <w:rPr/>
              <w:t>☒          </w:t>
            </w: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4174"/>
        <w:gridCol w:w="5907"/>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4174" w:type="dxa"/>
            <w:tcBorders/>
            <w:vAlign w:val="center"/>
          </w:tcPr>
          <w:p>
            <w:pPr>
              <w:pStyle w:val="TableContents"/>
              <w:bidi w:val="0"/>
              <w:spacing w:before="0" w:after="283"/>
              <w:ind w:left="0" w:right="0" w:hanging="0"/>
              <w:jc w:val="left"/>
              <w:rPr>
                <w:sz w:val="4"/>
                <w:szCs w:val="4"/>
              </w:rPr>
            </w:pPr>
            <w:r>
              <w:rPr>
                <w:sz w:val="4"/>
                <w:szCs w:val="4"/>
              </w:rPr>
            </w:r>
          </w:p>
        </w:tc>
        <w:tc>
          <w:tcPr>
            <w:tcW w:w="5907"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081" w:type="dxa"/>
            <w:gridSpan w:val="2"/>
            <w:tcBorders/>
            <w:vAlign w:val="center"/>
          </w:tcPr>
          <w:p>
            <w:pPr>
              <w:pStyle w:val="TableContents"/>
              <w:bidi w:val="0"/>
              <w:spacing w:before="0" w:after="0"/>
              <w:ind w:left="0" w:right="0" w:hanging="0"/>
              <w:jc w:val="left"/>
              <w:rPr/>
            </w:pPr>
            <w:r>
              <w:rPr/>
              <w:t>☐          </w:t>
            </w: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from____ to ____</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001-32295</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44"/>
        </w:rPr>
      </w:pPr>
      <w:r>
        <w:rPr>
          <w:rFonts w:ascii="Times New Roman;Times;serif" w:hAnsi="Times New Roman;Times;serif"/>
          <w:b/>
          <w:sz w:val="44"/>
        </w:rPr>
        <w:t>FENNEC PHARMACEUTICALS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k9of6hl920CdRQxXI5jWiA_4_1"/>
      <w:bookmarkStart w:id="4" w:name="Tc_0C9CDMvea0-9pacGHKPGGg_4_0"/>
      <w:bookmarkStart w:id="5" w:name="Tc_fF_Y4RQNyUC_j-NHl-l9tQ_2_1"/>
      <w:bookmarkStart w:id="6" w:name="Tc_UF5kWnfkoEmoDu54dZOlJw_2_0"/>
      <w:bookmarkStart w:id="7" w:name="Tc_dJ3mD0HvckmS6fs36bQEWA_1_0"/>
      <w:bookmarkStart w:id="8" w:name="_cd4b4104_5d9b_4130_810f_4dbad4e83014"/>
      <w:bookmarkStart w:id="9" w:name="Tc_k9of6hl920CdRQxXI5jWiA_4_1"/>
      <w:bookmarkStart w:id="10" w:name="Tc_0C9CDMvea0-9pacGHKPGGg_4_0"/>
      <w:bookmarkStart w:id="11" w:name="Tc_fF_Y4RQNyUC_j-NHl-l9tQ_2_1"/>
      <w:bookmarkStart w:id="12" w:name="Tc_UF5kWnfkoEmoDu54dZOlJw_2_0"/>
      <w:bookmarkStart w:id="13" w:name="Tc_dJ3mD0HvckmS6fs36bQEWA_1_0"/>
      <w:bookmarkStart w:id="14" w:name="_cd4b4104_5d9b_4130_810f_4dbad4e83014"/>
      <w:bookmarkEnd w:id="9"/>
      <w:bookmarkEnd w:id="10"/>
      <w:bookmarkEnd w:id="11"/>
      <w:bookmarkEnd w:id="12"/>
      <w:bookmarkEnd w:id="13"/>
      <w:bookmarkEnd w:id="14"/>
    </w:p>
    <w:tbl>
      <w:tblPr>
        <w:tblW w:w="5237" w:type="dxa"/>
        <w:jc w:val="left"/>
        <w:tblInd w:w="0" w:type="dxa"/>
        <w:tblLayout w:type="fixed"/>
        <w:tblCellMar>
          <w:top w:w="0" w:type="dxa"/>
          <w:left w:w="0" w:type="dxa"/>
          <w:bottom w:w="0" w:type="dxa"/>
          <w:right w:w="0" w:type="dxa"/>
        </w:tblCellMar>
      </w:tblPr>
      <w:tblGrid>
        <w:gridCol w:w="3556"/>
        <w:gridCol w:w="1681"/>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p>
        </w:tc>
        <w:tc>
          <w:tcPr>
            <w:tcW w:w="1681" w:type="dxa"/>
            <w:tcBorders/>
            <w:vAlign w:val="center"/>
          </w:tcPr>
          <w:p>
            <w:pPr>
              <w:pStyle w:val="TableContents"/>
              <w:bidi w:val="0"/>
              <w:spacing w:before="0" w:after="283"/>
              <w:ind w:left="0" w:right="0" w:hanging="0"/>
              <w:jc w:val="left"/>
              <w:rPr>
                <w:sz w:val="4"/>
                <w:szCs w:val="4"/>
              </w:rPr>
            </w:pPr>
            <w:r>
              <w:rPr>
                <w:sz w:val="4"/>
                <w:szCs w:val="4"/>
              </w:rPr>
            </w:r>
          </w:p>
        </w:tc>
      </w:tr>
      <w:tr>
        <w:trPr/>
        <w:tc>
          <w:tcPr>
            <w:tcW w:w="3556" w:type="dxa"/>
            <w:tcBorders>
              <w:top w:val="single" w:sz="1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British Columbia, Canada</w:t>
            </w:r>
          </w:p>
        </w:tc>
        <w:tc>
          <w:tcPr>
            <w:tcW w:w="1681" w:type="dxa"/>
            <w:tcBorders>
              <w:top w:val="single" w:sz="1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20-0442384</w:t>
            </w:r>
          </w:p>
        </w:tc>
      </w:tr>
      <w:tr>
        <w:trPr/>
        <w:tc>
          <w:tcPr>
            <w:tcW w:w="35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(State or Other Jurisdiction of</w:t>
            </w:r>
            <w:r>
              <w:rPr>
                <w:rFonts w:ascii="Times New Roman;Times;serif" w:hAnsi="Times New Roman;Times;serif"/>
                <w:sz w:val="20"/>
              </w:rPr>
              <w:br/>
            </w:r>
            <w:r>
              <w:rPr>
                <w:rFonts w:ascii="Times New Roman;Times;serif" w:hAnsi="Times New Roman;Times;serif"/>
                <w:b/>
                <w:sz w:val="20"/>
              </w:rPr>
              <w:t>Incorporation or Organization)</w:t>
            </w:r>
          </w:p>
        </w:tc>
        <w:tc>
          <w:tcPr>
            <w:tcW w:w="16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(I.R.S. Employer</w:t>
            </w:r>
            <w:r>
              <w:rPr>
                <w:rFonts w:ascii="Times New Roman;Times;serif" w:hAnsi="Times New Roman;Times;serif"/>
                <w:sz w:val="20"/>
              </w:rPr>
              <w:br/>
            </w:r>
            <w:r>
              <w:rPr>
                <w:rFonts w:ascii="Times New Roman;Times;serif" w:hAnsi="Times New Roman;Times;serif"/>
                <w:b/>
                <w:sz w:val="20"/>
              </w:rPr>
              <w:t>Identification No.)</w:t>
            </w:r>
          </w:p>
        </w:tc>
      </w:tr>
      <w:tr>
        <w:trPr/>
        <w:tc>
          <w:tcPr>
            <w:tcW w:w="3556" w:type="dxa"/>
            <w:tcBorders/>
            <w:vAlign w:val="center"/>
          </w:tcPr>
          <w:p>
            <w:pPr>
              <w:pStyle w:val="TableContents"/>
              <w:bidi w:val="0"/>
              <w:spacing w:before="0" w:after="0"/>
              <w:ind w:left="0" w:right="0" w:hanging="0"/>
              <w:jc w:val="center"/>
              <w:rPr/>
            </w:pPr>
            <w:r>
              <w:rPr/>
              <w:t> </w:t>
            </w:r>
          </w:p>
        </w:tc>
        <w:tc>
          <w:tcPr>
            <w:tcW w:w="1681" w:type="dxa"/>
            <w:tcBorders/>
            <w:vAlign w:val="center"/>
          </w:tcPr>
          <w:p>
            <w:pPr>
              <w:pStyle w:val="TableContents"/>
              <w:bidi w:val="0"/>
              <w:spacing w:before="0" w:after="0"/>
              <w:ind w:left="0" w:right="0" w:hanging="0"/>
              <w:jc w:val="center"/>
              <w:rPr/>
            </w:pPr>
            <w:r>
              <w:rPr/>
              <w:t> </w:t>
            </w:r>
          </w:p>
        </w:tc>
      </w:tr>
      <w:tr>
        <w:trPr/>
        <w:tc>
          <w:tcPr>
            <w:tcW w:w="3556"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PO Box 13628, 68 TW Alexander Drive</w:t>
            </w:r>
            <w:r>
              <w:rPr>
                <w:rFonts w:ascii="Times New Roman;Times;serif" w:hAnsi="Times New Roman;Times;serif"/>
                <w:sz w:val="20"/>
              </w:rPr>
              <w:br/>
            </w:r>
            <w:r>
              <w:rPr>
                <w:rFonts w:ascii="Times New Roman;Times;serif" w:hAnsi="Times New Roman;Times;serif"/>
                <w:b/>
                <w:sz w:val="20"/>
              </w:rPr>
              <w:t>Research Triangle Park, North Carolina</w:t>
            </w:r>
            <w:r>
              <w:rPr>
                <w:rFonts w:ascii="Times New Roman;Times;serif" w:hAnsi="Times New Roman;Times;serif"/>
                <w:sz w:val="20"/>
              </w:rPr>
              <w:br/>
            </w:r>
            <w:r>
              <w:rPr>
                <w:rFonts w:ascii="Times New Roman;Times;serif" w:hAnsi="Times New Roman;Times;serif"/>
                <w:b/>
                <w:sz w:val="20"/>
              </w:rPr>
              <w:t>(Address of Principal Executive Offices)</w:t>
            </w:r>
          </w:p>
        </w:tc>
        <w:tc>
          <w:tcPr>
            <w:tcW w:w="168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27709</w:t>
            </w:r>
            <w:r>
              <w:rPr>
                <w:rFonts w:ascii="Times New Roman;Times;serif" w:hAnsi="Times New Roman;Times;serif"/>
                <w:sz w:val="20"/>
              </w:rPr>
              <w:br/>
            </w:r>
            <w:r>
              <w:rPr>
                <w:rFonts w:ascii="Times New Roman;Times;serif" w:hAnsi="Times New Roman;Times;serif"/>
                <w:b/>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(919) 636-4530</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ind w:left="0" w:right="0" w:hanging="0"/>
        <w:jc w:val="left"/>
        <w:rPr>
          <w:sz w:val="4"/>
          <w:szCs w:val="4"/>
        </w:rPr>
      </w:pPr>
      <w:r>
        <w:rPr>
          <w:sz w:val="4"/>
          <w:szCs w:val="4"/>
        </w:rPr>
      </w:r>
      <w:bookmarkStart w:id="15" w:name="Tc_QYUkOWYtKU-1Ycy5iU-Gcg_2_2"/>
      <w:bookmarkStart w:id="16" w:name="Tc_F5OpVxor3UusINdmUJw2-w_1_2"/>
      <w:bookmarkStart w:id="17" w:name="Tc_h6-_9-Y2Y0mCxiaeAvgfqg_1_1"/>
      <w:bookmarkStart w:id="18" w:name="Tc_sBXHx3lKyk2W7tJ0vvSGwA_1_0"/>
      <w:bookmarkStart w:id="19" w:name="_e8dec0ef_aa2f_4437_b0f1_d4acdb5a2b36"/>
      <w:bookmarkStart w:id="20" w:name="Tc_QYUkOWYtKU-1Ycy5iU-Gcg_2_2"/>
      <w:bookmarkStart w:id="21" w:name="Tc_F5OpVxor3UusINdmUJw2-w_1_2"/>
      <w:bookmarkStart w:id="22" w:name="Tc_h6-_9-Y2Y0mCxiaeAvgfqg_1_1"/>
      <w:bookmarkStart w:id="23" w:name="Tc_sBXHx3lKyk2W7tJ0vvSGwA_1_0"/>
      <w:bookmarkStart w:id="24" w:name="_e8dec0ef_aa2f_4437_b0f1_d4acdb5a2b36"/>
      <w:bookmarkEnd w:id="20"/>
      <w:bookmarkEnd w:id="21"/>
      <w:bookmarkEnd w:id="22"/>
      <w:bookmarkEnd w:id="23"/>
      <w:bookmarkEnd w:id="24"/>
    </w:p>
    <w:tbl>
      <w:tblPr>
        <w:tblW w:w="7863" w:type="dxa"/>
        <w:jc w:val="left"/>
        <w:tblInd w:w="0" w:type="dxa"/>
        <w:tblLayout w:type="fixed"/>
        <w:tblCellMar>
          <w:top w:w="0" w:type="dxa"/>
          <w:left w:w="0" w:type="dxa"/>
          <w:bottom w:w="0" w:type="dxa"/>
          <w:right w:w="0" w:type="dxa"/>
        </w:tblCellMar>
      </w:tblPr>
      <w:tblGrid>
        <w:gridCol w:w="2536"/>
        <w:gridCol w:w="1621"/>
        <w:gridCol w:w="3706"/>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5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Shares, no par value</w:t>
            </w:r>
          </w:p>
        </w:tc>
        <w:tc>
          <w:tcPr>
            <w:tcW w:w="16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FENC</w:t>
            </w:r>
          </w:p>
        </w:tc>
        <w:tc>
          <w:tcPr>
            <w:tcW w:w="3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Capital Market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b w:val="false"/>
          <w:i w:val="false"/>
          <w:caps w:val="false"/>
          <w:smallCaps w:val="false"/>
          <w:sz w:val="20"/>
        </w:rPr>
        <w:t>YES</w:t>
      </w:r>
      <w:r>
        <w:rPr>
          <w:rFonts w:ascii="Times New Roman;Times;serif" w:hAnsi="Times New Roman;Times;serif"/>
          <w:sz w:val="20"/>
        </w:rPr>
        <w:t> ☒     NO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     No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25" w:name="Tc_wj14UFB6Q0eNzGQdyDfcSw_2_3"/>
      <w:bookmarkStart w:id="26" w:name="Tc_vr2wuqydmEiLLOIR3EKTkA_1_3"/>
      <w:bookmarkStart w:id="27" w:name="Tc_60EFLbJmZ0ySDmCtxReSaQ_1_1"/>
      <w:bookmarkStart w:id="28" w:name="Tc_GsJaRpOPPk20WQCjKpOd8g_0_4"/>
      <w:bookmarkStart w:id="29" w:name="Tc_df6bjhWZF0CVbgyFw6On0w_0_3"/>
      <w:bookmarkStart w:id="30" w:name="Tc_qB3v-SwWmEqiKepJmrdTTw_0_1"/>
      <w:bookmarkStart w:id="31" w:name="Tc_LD7JfUezPEKHoxW9M1_5AQ_0_0"/>
      <w:bookmarkStart w:id="32" w:name="_97dd8d3b_9ffb_48d9_b10e_60b308636b69"/>
      <w:bookmarkStart w:id="33" w:name="Tc_wj14UFB6Q0eNzGQdyDfcSw_2_3"/>
      <w:bookmarkStart w:id="34" w:name="Tc_vr2wuqydmEiLLOIR3EKTkA_1_3"/>
      <w:bookmarkStart w:id="35" w:name="Tc_60EFLbJmZ0ySDmCtxReSaQ_1_1"/>
      <w:bookmarkStart w:id="36" w:name="Tc_GsJaRpOPPk20WQCjKpOd8g_0_4"/>
      <w:bookmarkStart w:id="37" w:name="Tc_df6bjhWZF0CVbgyFw6On0w_0_3"/>
      <w:bookmarkStart w:id="38" w:name="Tc_qB3v-SwWmEqiKepJmrdTTw_0_1"/>
      <w:bookmarkStart w:id="39" w:name="Tc_LD7JfUezPEKHoxW9M1_5AQ_0_0"/>
      <w:bookmarkStart w:id="40" w:name="_97dd8d3b_9ffb_48d9_b10e_60b308636b69"/>
      <w:bookmarkEnd w:id="33"/>
      <w:bookmarkEnd w:id="34"/>
      <w:bookmarkEnd w:id="35"/>
      <w:bookmarkEnd w:id="36"/>
      <w:bookmarkEnd w:id="37"/>
      <w:bookmarkEnd w:id="38"/>
      <w:bookmarkEnd w:id="39"/>
      <w:bookmarkEnd w:id="40"/>
    </w:p>
    <w:tbl>
      <w:tblPr>
        <w:tblW w:w="5325" w:type="dxa"/>
        <w:jc w:val="left"/>
        <w:tblInd w:w="0" w:type="dxa"/>
        <w:tblLayout w:type="fixed"/>
        <w:tblCellMar>
          <w:top w:w="0" w:type="dxa"/>
          <w:left w:w="0" w:type="dxa"/>
          <w:bottom w:w="0" w:type="dxa"/>
          <w:right w:w="0" w:type="dxa"/>
        </w:tblCellMar>
      </w:tblPr>
      <w:tblGrid>
        <w:gridCol w:w="2101"/>
        <w:gridCol w:w="316"/>
        <w:gridCol w:w="146"/>
        <w:gridCol w:w="2401"/>
        <w:gridCol w:w="361"/>
      </w:tblGrid>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Indicated by check mark whether the registrant is a shell company (as defined in Rule 12b-2 of the Exchange Act). YES ☐     NO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August 11, 2026, there were 35,067,159 of the registrant's common shares outstanding.</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1" w:name="TOC"/>
      <w:bookmarkStart w:id="42" w:name="_f84356bf_52d4_448c_a5f2_f07b6fc603e7"/>
      <w:bookmarkEnd w:id="41"/>
      <w:bookmarkEnd w:id="42"/>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9634"/>
        <w:gridCol w:w="571"/>
      </w:tblGrid>
      <w:tr>
        <w:trPr/>
        <w:tc>
          <w:tcPr>
            <w:tcW w:w="9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117590" cy="29210"/>
                      <wp:effectExtent l="0" t="0" r="0" b="0"/>
                      <wp:wrapNone/>
                      <wp:docPr id="1" name="Frame1"/>
                      <a:graphic xmlns:a="http://schemas.openxmlformats.org/drawingml/2006/main">
                        <a:graphicData uri="http://schemas.microsoft.com/office/word/2010/wordprocessingShape">
                          <wps:wsp>
                            <wps:cNvSpPr txBox="1"/>
                            <wps:spPr>
                              <a:xfrm>
                                <a:off x="0" y="0"/>
                                <a:ext cx="61175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62585" cy="29210"/>
                      <wp:effectExtent l="0" t="0" r="0" b="0"/>
                      <wp:wrapNone/>
                      <wp:docPr id="2" name="Frame2"/>
                      <a:graphic xmlns:a="http://schemas.openxmlformats.org/drawingml/2006/main">
                        <a:graphicData uri="http://schemas.microsoft.com/office/word/2010/wordprocessingShape">
                          <wps:wsp>
                            <wps:cNvSpPr txBox="1"/>
                            <wps:spPr>
                              <a:xfrm>
                                <a:off x="0" y="0"/>
                                <a:ext cx="362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634"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634" w:type="dxa"/>
            <w:tcBorders/>
            <w:vAlign w:val="center"/>
          </w:tcPr>
          <w:p>
            <w:pPr>
              <w:pStyle w:val="TableContents"/>
              <w:bidi w:val="0"/>
              <w:spacing w:before="0" w:after="0"/>
              <w:ind w:left="0" w:right="0" w:hanging="0"/>
              <w:jc w:val="left"/>
              <w:rPr/>
            </w:pPr>
            <w:hyperlink w:anchor="PART1FINANCIALINFORMATION_469555">
              <w:r>
                <w:rPr>
                  <w:rStyle w:val="InternetLink"/>
                  <w:rFonts w:ascii="Times New Roman;Times;serif" w:hAnsi="Times New Roman;Times;serif"/>
                  <w:b w:val="false"/>
                  <w:i w:val="false"/>
                  <w:caps w:val="false"/>
                  <w:smallCaps w:val="false"/>
                  <w:sz w:val="20"/>
                </w:rPr>
                <w:t>PART I: FINANCIAL INFORMATION</w:t>
              </w:r>
            </w:hyperlink>
          </w:p>
        </w:tc>
        <w:tc>
          <w:tcPr>
            <w:tcW w:w="57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1FinancialStatements_104331">
              <w:r>
                <w:rPr>
                  <w:rStyle w:val="InternetLink"/>
                  <w:rFonts w:ascii="Times New Roman;Times;serif" w:hAnsi="Times New Roman;Times;serif"/>
                  <w:b w:val="false"/>
                  <w:i w:val="false"/>
                  <w:caps w:val="false"/>
                  <w:smallCaps w:val="false"/>
                  <w:sz w:val="20"/>
                </w:rPr>
                <w:t>Item 1. Condensed Consolidated Financial Statements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CondensedConsolidatedBalanceSheets_11987">
              <w:r>
                <w:rPr>
                  <w:rStyle w:val="InternetLink"/>
                  <w:rFonts w:ascii="Times New Roman;Times;serif" w:hAnsi="Times New Roman;Times;serif"/>
                  <w:b w:val="false"/>
                  <w:i w:val="false"/>
                  <w:caps w:val="false"/>
                  <w:smallCaps w:val="false"/>
                  <w:sz w:val="20"/>
                </w:rPr>
                <w:t>Condensed Consolidated Balance Sheets (Unaudited) as of June 30, 2026, and December 31, 2025</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 (Unaudited) for the Three and Six Months Ended June 30, 2026 and 2025</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634" w:type="dxa"/>
            <w:tcBorders/>
            <w:vAlign w:val="center"/>
          </w:tcPr>
          <w:p>
            <w:pPr>
              <w:pStyle w:val="TableContents"/>
              <w:bidi w:val="0"/>
              <w:spacing w:before="0" w:after="0"/>
              <w:ind w:left="0" w:right="0" w:hanging="0"/>
              <w:jc w:val="left"/>
              <w:rPr/>
            </w:pPr>
            <w:hyperlink w:anchor="CondensedConsolidatedStatementsofStockho">
              <w:r>
                <w:rPr>
                  <w:rStyle w:val="InternetLink"/>
                  <w:rFonts w:ascii="Times New Roman;Times;serif" w:hAnsi="Times New Roman;Times;serif"/>
                  <w:b w:val="false"/>
                  <w:i w:val="false"/>
                  <w:caps w:val="false"/>
                  <w:smallCaps w:val="false"/>
                  <w:sz w:val="20"/>
                </w:rPr>
                <w:t>Condensed Consolidated Statements of Stockholders' Equity (Deficit) (Unaudited) for the Three and Six Months Ended June 30, 2026 and 2025</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634" w:type="dxa"/>
            <w:tcBorders/>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(Unaudited) for the Six Months Ended June 30, 2026 and 2025</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NotestotheConsolidatedFinancialStat">
              <w:r>
                <w:rPr>
                  <w:rStyle w:val="InternetLink"/>
                  <w:rFonts w:ascii="Times New Roman;Times;serif" w:hAnsi="Times New Roman;Times;serif"/>
                  <w:b w:val="false"/>
                  <w:i w:val="false"/>
                  <w:caps w:val="false"/>
                  <w:smallCaps w:val="false"/>
                  <w:sz w:val="20"/>
                </w:rPr>
                <w:t>Notes to the Condensed Consolidated Financial Statements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4ControlsandProcedures">
              <w:r>
                <w:rPr>
                  <w:rStyle w:val="InternetLink"/>
                  <w:rFonts w:ascii="Times New Roman;Times;serif" w:hAnsi="Times New Roman;Times;serif"/>
                  <w:b w:val="false"/>
                  <w:i w:val="false"/>
                  <w:caps w:val="false"/>
                  <w:smallCaps w:val="false"/>
                  <w:sz w:val="20"/>
                </w:rPr>
                <w:t>Item 4. Controls and Procedures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PARTIIOTHERINFORMATION_440738">
              <w:r>
                <w:rPr>
                  <w:rStyle w:val="InternetLink"/>
                  <w:rFonts w:ascii="Times New Roman;Times;serif" w:hAnsi="Times New Roman;Times;serif"/>
                  <w:b w:val="false"/>
                  <w:i w:val="false"/>
                  <w:caps w:val="false"/>
                  <w:smallCaps w:val="false"/>
                  <w:sz w:val="20"/>
                </w:rPr>
                <w:t>PART II: OTHER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1LegalProceedings_499314">
              <w:r>
                <w:rPr>
                  <w:rStyle w:val="InternetLink"/>
                  <w:rFonts w:ascii="Times New Roman;Times;serif" w:hAnsi="Times New Roman;Times;serif"/>
                  <w:b w:val="false"/>
                  <w:i w:val="false"/>
                  <w:caps w:val="false"/>
                  <w:smallCaps w:val="false"/>
                  <w:sz w:val="20"/>
                </w:rPr>
                <w:t>Item 1. Legal Proceedings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1ARiskFactors_207910">
              <w:r>
                <w:rPr>
                  <w:rStyle w:val="InternetLink"/>
                  <w:rFonts w:ascii="Times New Roman;Times;serif" w:hAnsi="Times New Roman;Times;serif"/>
                  <w:b w:val="false"/>
                  <w:i w:val="false"/>
                  <w:caps w:val="false"/>
                  <w:smallCaps w:val="false"/>
                  <w:sz w:val="20"/>
                </w:rPr>
                <w:t>Item 1A. Risk Factors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3DefaultsUponSeniorSecurities_709855">
              <w:r>
                <w:rPr>
                  <w:rStyle w:val="InternetLink"/>
                  <w:rFonts w:ascii="Times New Roman;Times;serif" w:hAnsi="Times New Roman;Times;serif"/>
                  <w:b w:val="false"/>
                  <w:i w:val="false"/>
                  <w:caps w:val="false"/>
                  <w:smallCaps w:val="false"/>
                  <w:sz w:val="20"/>
                </w:rPr>
                <w:t>Item 3. Defaults Upon Senior Securities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4MineSafetyDisclosures_768258">
              <w:r>
                <w:rPr>
                  <w:rStyle w:val="InternetLink"/>
                  <w:rFonts w:ascii="Times New Roman;Times;serif" w:hAnsi="Times New Roman;Times;serif"/>
                  <w:b w:val="false"/>
                  <w:i w:val="false"/>
                  <w:caps w:val="false"/>
                  <w:smallCaps w:val="false"/>
                  <w:sz w:val="20"/>
                </w:rPr>
                <w:t>Item 4. Mine Safety Disclosures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5OtherInformation_249802">
              <w:r>
                <w:rPr>
                  <w:rStyle w:val="InternetLink"/>
                  <w:rFonts w:ascii="Times New Roman;Times;serif" w:hAnsi="Times New Roman;Times;serif"/>
                  <w:b w:val="false"/>
                  <w:i w:val="false"/>
                  <w:caps w:val="false"/>
                  <w:smallCaps w:val="false"/>
                  <w:sz w:val="20"/>
                </w:rPr>
                <w:t>Item 5. Other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6Exhibits_988289">
              <w:r>
                <w:rPr>
                  <w:rStyle w:val="InternetLink"/>
                  <w:rFonts w:ascii="Times New Roman;Times;serif" w:hAnsi="Times New Roman;Times;serif"/>
                  <w:b w:val="false"/>
                  <w:i w:val="false"/>
                  <w:caps w:val="false"/>
                  <w:smallCaps w:val="false"/>
                  <w:sz w:val="20"/>
                </w:rPr>
                <w:t>Item 6. Exhibits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SIGNATURES_157945">
              <w:r>
                <w:rPr>
                  <w:rStyle w:val="InternetLink"/>
                  <w:rFonts w:ascii="Times New Roman;Times;serif" w:hAnsi="Times New Roman;Times;serif"/>
                  <w:b w:val="false"/>
                  <w:i w:val="false"/>
                  <w:caps w:val="false"/>
                  <w:smallCaps w:val="false"/>
                  <w:sz w:val="20"/>
                </w:rPr>
                <w:t>Signatures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3" w:name="PART1FINANCIALINFORMATION_469555"/>
      <w:bookmarkStart w:id="44" w:name="_df10a415_f4c9_441b_94f0_17fb8fbeb43a"/>
      <w:bookmarkEnd w:id="43"/>
      <w:bookmarkEnd w:id="44"/>
      <w:r>
        <w:rPr>
          <w:rFonts w:ascii="Times New Roman;Times;serif" w:hAnsi="Times New Roman;Times;serif"/>
          <w:b/>
          <w:sz w:val="20"/>
        </w:rPr>
        <w:t>PART 1: FINANCIAL INFORMATION</w:t>
      </w:r>
    </w:p>
    <w:p>
      <w:pPr>
        <w:pStyle w:val="TextBody"/>
        <w:bidi w:val="0"/>
        <w:spacing w:before="0" w:after="0"/>
        <w:ind w:left="0" w:right="0" w:hanging="0"/>
        <w:jc w:val="center"/>
        <w:rPr>
          <w:rFonts w:ascii="Times New Roman;Times;serif" w:hAnsi="Times New Roman;Times;serif"/>
          <w:b/>
          <w:sz w:val="20"/>
        </w:rPr>
      </w:pPr>
      <w:bookmarkStart w:id="45" w:name="Item1FinancialStatements_104331"/>
      <w:bookmarkEnd w:id="45"/>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Fennec Pharmaceuticals Inc.</w:t>
      </w:r>
    </w:p>
    <w:p>
      <w:pPr>
        <w:pStyle w:val="TextBody"/>
        <w:bidi w:val="0"/>
        <w:spacing w:before="0" w:after="0"/>
        <w:ind w:left="0" w:right="0" w:hanging="0"/>
        <w:jc w:val="center"/>
        <w:rPr>
          <w:rFonts w:ascii="Times New Roman;Times;serif" w:hAnsi="Times New Roman;Times;serif"/>
          <w:b/>
          <w:sz w:val="20"/>
        </w:rPr>
      </w:pPr>
      <w:bookmarkStart w:id="46" w:name="CondensedConsolidatedBalanceSheets_11987"/>
      <w:bookmarkEnd w:id="46"/>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and shares 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7" w:name="Tc_Yuo3DdHLd0yIWqxnCxJ5SQ_38_5"/>
      <w:bookmarkStart w:id="48" w:name="Tc_nxo1mbLGhEiQWgPcB3HtIg_38_2"/>
      <w:bookmarkStart w:id="49" w:name="Tc_e1Zv9w2fEkKBN8iMzT6teQ_38_0"/>
      <w:bookmarkStart w:id="50" w:name="Tc_ODwh6l-YSEqxgVKKObD5PQ_37_0"/>
      <w:bookmarkStart w:id="51" w:name="Tc__luS8RePYEirFMvVg86M4g_36_0"/>
      <w:bookmarkStart w:id="52" w:name="Tc_bCeTW64cXUewP0T-cVy6oA_35_0"/>
      <w:bookmarkStart w:id="53" w:name="Tc_J9kdAPXTIUingXrjMQ-UTA_34_0"/>
      <w:bookmarkStart w:id="54" w:name="Tc_kTl-d2DFOEi0Km7EYD0Mgw_33_0"/>
      <w:bookmarkStart w:id="55" w:name="Tc_LRuhQAJxEEi405L1x-N4RQ_32_0"/>
      <w:bookmarkStart w:id="56" w:name="Tc__p2LLKv1gUqwXXxOuLr4PA_30_0"/>
      <w:bookmarkStart w:id="57" w:name="Tc_NIpSngnackehhlbmjrxVDg_28_0"/>
      <w:bookmarkStart w:id="58" w:name="Tc_QmrO0wIlvE6hTEa1AEnLWQ_27_0"/>
      <w:bookmarkStart w:id="59" w:name="Tc_XQsTcYMr4U63Gu1d-PXX3w_26_0"/>
      <w:bookmarkStart w:id="60" w:name="Tc_P_n1wJS1g0eQQt2PDzOq3A_25_0"/>
      <w:bookmarkStart w:id="61" w:name="Tc_D2wZaxPuwkO9LS7cQLoUVg_23_0"/>
      <w:bookmarkStart w:id="62" w:name="Tc_XYC1HzSZUkeosKf4iyI5MQ_22_0"/>
      <w:bookmarkStart w:id="63" w:name="Tc_nv-t7BCXpU-Ll043FomlIA_21_0"/>
      <w:bookmarkStart w:id="64" w:name="Tc_lGE0-3wdVUyj0jD25yfjbA_20_5"/>
      <w:bookmarkStart w:id="65" w:name="Tc_0OenAqc4jEGYzabDFX9xOA_20_2"/>
      <w:bookmarkStart w:id="66" w:name="Tc_2TuUWfwYPEm5J8PTo18LEg_20_0"/>
      <w:bookmarkStart w:id="67" w:name="Tc_NSTSpDsxAkqMX31QWdD43w_19_0"/>
      <w:bookmarkStart w:id="68" w:name="Tc_Se0uNzQq6UebesOV_PqPJA_18_0"/>
      <w:bookmarkStart w:id="69" w:name="Tc_HEgFpSbH30y0y4Hpk7mKeA_16_5"/>
      <w:bookmarkStart w:id="70" w:name="Tc_KByplwwJR069e6GMzupbDw_16_2"/>
      <w:bookmarkStart w:id="71" w:name="Tc_yo_v4sJsDEGT7kOiqJYj0Q_16_0"/>
      <w:bookmarkStart w:id="72" w:name="Tc_WDBbIddyHEiKS6KMTYa4LA_15_0"/>
      <w:bookmarkStart w:id="73" w:name="Tc_Fvl1hqSbm0KtGfnFt2D6-A_14_0"/>
      <w:bookmarkStart w:id="74" w:name="Tc_-0zjsnAJ802QQ374O6zfbg_13_0"/>
      <w:bookmarkStart w:id="75" w:name="Tc_d544d0FTt0uZCOaf315EHQ_12_0"/>
      <w:bookmarkStart w:id="76" w:name="Tc_kCmK9aZZMkmxseK6OaZ9lA_10_0"/>
      <w:bookmarkStart w:id="77" w:name="Tc_9mlBf8haEEGK6CJ3HoTVxw_9_0"/>
      <w:bookmarkStart w:id="78" w:name="Tc_lmBLhc4_RECuwoEcVlD4fA_8_0"/>
      <w:bookmarkStart w:id="79" w:name="Tc_e21bBfPlekWNeqGDfa5wNQ_7_0"/>
      <w:bookmarkStart w:id="80" w:name="Tc_e9CeLwGAWUisbFlMH-epcw_6_0"/>
      <w:bookmarkStart w:id="81" w:name="Tc_YO7QFfqzj06g4JwjK3kg4w_5_5"/>
      <w:bookmarkStart w:id="82" w:name="Tc_X8DgNSQusUiO1oYc2kCTZg_5_2"/>
      <w:bookmarkStart w:id="83" w:name="Tc_usifoDsY4EC1WPPV_kqL0g_5_0"/>
      <w:bookmarkStart w:id="84" w:name="Tc_EyN7zngCDEm4yqAemufIgg_4_0"/>
      <w:bookmarkStart w:id="85" w:name="Tc_RsZsdgq8eE6cBONYHcB_zQ_3_0"/>
      <w:bookmarkStart w:id="86" w:name="Tc_a1hzIlXH_06mFHlT2pXt-A_1_5"/>
      <w:bookmarkStart w:id="87" w:name="Tc_qpge5f-um0GuPHWochZZ7w_1_2"/>
      <w:bookmarkStart w:id="88" w:name="_7c8016d0_64b2_421c_ba61_e2508082c7ee"/>
      <w:bookmarkStart w:id="89" w:name="Tc_Yuo3DdHLd0yIWqxnCxJ5SQ_38_5"/>
      <w:bookmarkStart w:id="90" w:name="Tc_nxo1mbLGhEiQWgPcB3HtIg_38_2"/>
      <w:bookmarkStart w:id="91" w:name="Tc_e1Zv9w2fEkKBN8iMzT6teQ_38_0"/>
      <w:bookmarkStart w:id="92" w:name="Tc_ODwh6l-YSEqxgVKKObD5PQ_37_0"/>
      <w:bookmarkStart w:id="93" w:name="Tc__luS8RePYEirFMvVg86M4g_36_0"/>
      <w:bookmarkStart w:id="94" w:name="Tc_bCeTW64cXUewP0T-cVy6oA_35_0"/>
      <w:bookmarkStart w:id="95" w:name="Tc_J9kdAPXTIUingXrjMQ-UTA_34_0"/>
      <w:bookmarkStart w:id="96" w:name="Tc_kTl-d2DFOEi0Km7EYD0Mgw_33_0"/>
      <w:bookmarkStart w:id="97" w:name="Tc_LRuhQAJxEEi405L1x-N4RQ_32_0"/>
      <w:bookmarkStart w:id="98" w:name="Tc__p2LLKv1gUqwXXxOuLr4PA_30_0"/>
      <w:bookmarkStart w:id="99" w:name="Tc_NIpSngnackehhlbmjrxVDg_28_0"/>
      <w:bookmarkStart w:id="100" w:name="Tc_QmrO0wIlvE6hTEa1AEnLWQ_27_0"/>
      <w:bookmarkStart w:id="101" w:name="Tc_XQsTcYMr4U63Gu1d-PXX3w_26_0"/>
      <w:bookmarkStart w:id="102" w:name="Tc_P_n1wJS1g0eQQt2PDzOq3A_25_0"/>
      <w:bookmarkStart w:id="103" w:name="Tc_D2wZaxPuwkO9LS7cQLoUVg_23_0"/>
      <w:bookmarkStart w:id="104" w:name="Tc_XYC1HzSZUkeosKf4iyI5MQ_22_0"/>
      <w:bookmarkStart w:id="105" w:name="Tc_nv-t7BCXpU-Ll043FomlIA_21_0"/>
      <w:bookmarkStart w:id="106" w:name="Tc_lGE0-3wdVUyj0jD25yfjbA_20_5"/>
      <w:bookmarkStart w:id="107" w:name="Tc_0OenAqc4jEGYzabDFX9xOA_20_2"/>
      <w:bookmarkStart w:id="108" w:name="Tc_2TuUWfwYPEm5J8PTo18LEg_20_0"/>
      <w:bookmarkStart w:id="109" w:name="Tc_NSTSpDsxAkqMX31QWdD43w_19_0"/>
      <w:bookmarkStart w:id="110" w:name="Tc_Se0uNzQq6UebesOV_PqPJA_18_0"/>
      <w:bookmarkStart w:id="111" w:name="Tc_HEgFpSbH30y0y4Hpk7mKeA_16_5"/>
      <w:bookmarkStart w:id="112" w:name="Tc_KByplwwJR069e6GMzupbDw_16_2"/>
      <w:bookmarkStart w:id="113" w:name="Tc_yo_v4sJsDEGT7kOiqJYj0Q_16_0"/>
      <w:bookmarkStart w:id="114" w:name="Tc_WDBbIddyHEiKS6KMTYa4LA_15_0"/>
      <w:bookmarkStart w:id="115" w:name="Tc_Fvl1hqSbm0KtGfnFt2D6-A_14_0"/>
      <w:bookmarkStart w:id="116" w:name="Tc_-0zjsnAJ802QQ374O6zfbg_13_0"/>
      <w:bookmarkStart w:id="117" w:name="Tc_d544d0FTt0uZCOaf315EHQ_12_0"/>
      <w:bookmarkStart w:id="118" w:name="Tc_kCmK9aZZMkmxseK6OaZ9lA_10_0"/>
      <w:bookmarkStart w:id="119" w:name="Tc_9mlBf8haEEGK6CJ3HoTVxw_9_0"/>
      <w:bookmarkStart w:id="120" w:name="Tc_lmBLhc4_RECuwoEcVlD4fA_8_0"/>
      <w:bookmarkStart w:id="121" w:name="Tc_e21bBfPlekWNeqGDfa5wNQ_7_0"/>
      <w:bookmarkStart w:id="122" w:name="Tc_e9CeLwGAWUisbFlMH-epcw_6_0"/>
      <w:bookmarkStart w:id="123" w:name="Tc_YO7QFfqzj06g4JwjK3kg4w_5_5"/>
      <w:bookmarkStart w:id="124" w:name="Tc_X8DgNSQusUiO1oYc2kCTZg_5_2"/>
      <w:bookmarkStart w:id="125" w:name="Tc_usifoDsY4EC1WPPV_kqL0g_5_0"/>
      <w:bookmarkStart w:id="126" w:name="Tc_EyN7zngCDEm4yqAemufIgg_4_0"/>
      <w:bookmarkStart w:id="127" w:name="Tc_RsZsdgq8eE6cBONYHcB_zQ_3_0"/>
      <w:bookmarkStart w:id="128" w:name="Tc_a1hzIlXH_06mFHlT2pXt-A_1_5"/>
      <w:bookmarkStart w:id="129" w:name="Tc_qpge5f-um0GuPHWochZZ7w_1_2"/>
      <w:bookmarkStart w:id="130" w:name="_7c8016d0_64b2_421c_ba61_e2508082c7ee"/>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tbl>
      <w:tblPr>
        <w:tblW w:w="10205" w:type="dxa"/>
        <w:jc w:val="left"/>
        <w:tblInd w:w="0" w:type="dxa"/>
        <w:tblLayout w:type="fixed"/>
        <w:tblCellMar>
          <w:top w:w="0" w:type="dxa"/>
          <w:left w:w="0" w:type="dxa"/>
          <w:bottom w:w="0" w:type="dxa"/>
          <w:right w:w="0" w:type="dxa"/>
        </w:tblCellMar>
      </w:tblPr>
      <w:tblGrid>
        <w:gridCol w:w="7132"/>
        <w:gridCol w:w="146"/>
        <w:gridCol w:w="225"/>
        <w:gridCol w:w="901"/>
        <w:gridCol w:w="146"/>
        <w:gridCol w:w="301"/>
        <w:gridCol w:w="1200"/>
        <w:gridCol w:w="154"/>
      </w:tblGrid>
      <w:tr>
        <w:trPr/>
        <w:tc>
          <w:tcPr>
            <w:tcW w:w="7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528820" cy="175260"/>
                      <wp:effectExtent l="0" t="0" r="0" b="0"/>
                      <wp:wrapNone/>
                      <wp:docPr id="3" name="Frame3"/>
                      <a:graphic xmlns:a="http://schemas.openxmlformats.org/drawingml/2006/main">
                        <a:graphicData uri="http://schemas.microsoft.com/office/word/2010/wordprocessingShape">
                          <wps:wsp>
                            <wps:cNvSpPr txBox="1"/>
                            <wps:spPr>
                              <a:xfrm>
                                <a:off x="0" y="0"/>
                                <a:ext cx="4528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92710" cy="175260"/>
                      <wp:effectExtent l="0" t="0" r="0" b="0"/>
                      <wp:wrapNone/>
                      <wp:docPr id="4" name="Frame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42875" cy="175260"/>
                      <wp:effectExtent l="0" t="0" r="0" b="0"/>
                      <wp:wrapNone/>
                      <wp:docPr id="5" name="Frame5"/>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72135" cy="175260"/>
                      <wp:effectExtent l="0" t="0" r="0" b="0"/>
                      <wp:wrapNone/>
                      <wp:docPr id="6" name="Frame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92710" cy="175260"/>
                      <wp:effectExtent l="0" t="0" r="0" b="0"/>
                      <wp:wrapNone/>
                      <wp:docPr id="7" name="Frame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91135" cy="175260"/>
                      <wp:effectExtent l="0" t="0" r="0" b="0"/>
                      <wp:wrapNone/>
                      <wp:docPr id="8" name="Frame8"/>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762000" cy="175260"/>
                      <wp:effectExtent l="0" t="0" r="0" b="0"/>
                      <wp:wrapNone/>
                      <wp:docPr id="9" name="Frame9"/>
                      <a:graphic xmlns:a="http://schemas.openxmlformats.org/drawingml/2006/main">
                        <a:graphicData uri="http://schemas.microsoft.com/office/word/2010/wordprocessingShape">
                          <wps:wsp>
                            <wps:cNvSpPr txBox="1"/>
                            <wps:spPr>
                              <a:xfrm>
                                <a:off x="0" y="0"/>
                                <a:ext cx="762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97790" cy="175260"/>
                      <wp:effectExtent l="0" t="0" r="0" b="0"/>
                      <wp:wrapNone/>
                      <wp:docPr id="10" name="Frame1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132"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46" w:type="dxa"/>
            <w:tcBorders/>
            <w:vAlign w:val="center"/>
          </w:tcPr>
          <w:p>
            <w:pPr>
              <w:pStyle w:val="TableContents"/>
              <w:bidi w:val="0"/>
              <w:spacing w:before="0" w:after="1"/>
              <w:ind w:left="0" w:right="0" w:hanging="0"/>
              <w:jc w:val="left"/>
              <w:rPr/>
            </w:pPr>
            <w:r>
              <w:rPr/>
              <w:t>​</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200"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146" w:type="dxa"/>
            <w:tcBorders/>
            <w:shd w:fill="CCEEFF" w:val="clear"/>
            <w:vAlign w:val="center"/>
          </w:tcPr>
          <w:p>
            <w:pPr>
              <w:pStyle w:val="TableContents"/>
              <w:bidi w:val="0"/>
              <w:spacing w:before="0" w:after="1"/>
              <w:ind w:left="0" w:right="0" w:hanging="0"/>
              <w:jc w:val="left"/>
              <w:rPr/>
            </w:pPr>
            <w:r>
              <w:rPr/>
              <w:t> </w:t>
            </w:r>
          </w:p>
        </w:tc>
        <w:tc>
          <w:tcPr>
            <w:tcW w:w="22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301" w:type="dxa"/>
            <w:tcBorders/>
            <w:shd w:fill="CCEEFF" w:val="clear"/>
            <w:vAlign w:val="center"/>
          </w:tcPr>
          <w:p>
            <w:pPr>
              <w:pStyle w:val="TableContents"/>
              <w:bidi w:val="0"/>
              <w:spacing w:before="0" w:after="1"/>
              <w:ind w:left="0" w:right="0" w:hanging="0"/>
              <w:jc w:val="left"/>
              <w:rPr/>
            </w:pPr>
            <w:r>
              <w:rPr/>
              <w:t>​</w:t>
            </w:r>
          </w:p>
        </w:tc>
        <w:tc>
          <w:tcPr>
            <w:tcW w:w="1200"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146" w:type="dxa"/>
            <w:tcBorders/>
            <w:vAlign w:val="center"/>
          </w:tcPr>
          <w:p>
            <w:pPr>
              <w:pStyle w:val="TableContents"/>
              <w:bidi w:val="0"/>
              <w:spacing w:before="0" w:after="1"/>
              <w:ind w:left="0" w:right="0" w:hanging="0"/>
              <w:jc w:val="left"/>
              <w:rPr/>
            </w:pPr>
            <w:r>
              <w:rPr/>
              <w:t> </w:t>
            </w:r>
          </w:p>
        </w:tc>
        <w:tc>
          <w:tcPr>
            <w:tcW w:w="22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 </w:t>
            </w:r>
          </w:p>
        </w:tc>
        <w:tc>
          <w:tcPr>
            <w:tcW w:w="301" w:type="dxa"/>
            <w:tcBorders/>
            <w:vAlign w:val="center"/>
          </w:tcPr>
          <w:p>
            <w:pPr>
              <w:pStyle w:val="TableContents"/>
              <w:bidi w:val="0"/>
              <w:spacing w:before="0" w:after="1"/>
              <w:ind w:left="0" w:right="0" w:hanging="0"/>
              <w:jc w:val="left"/>
              <w:rPr/>
            </w:pPr>
            <w:r>
              <w:rPr/>
              <w:t>​</w:t>
            </w:r>
          </w:p>
        </w:tc>
        <w:tc>
          <w:tcPr>
            <w:tcW w:w="1200" w:type="dxa"/>
            <w:tcBorders/>
            <w:vAlign w:val="center"/>
          </w:tcPr>
          <w:p>
            <w:pPr>
              <w:pStyle w:val="TableContents"/>
              <w:bidi w:val="0"/>
              <w:spacing w:before="0" w:after="1"/>
              <w:ind w:left="0" w:right="0" w:hanging="0"/>
              <w:jc w:val="righ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41,249</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36,788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23,266</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2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23,221</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3,635</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w:t>
            </w:r>
          </w:p>
        </w:tc>
        <w:tc>
          <w:tcPr>
            <w:tcW w:w="1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2,374</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2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1,565</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1,976</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1,731</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1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72,500</w:t>
            </w:r>
          </w:p>
        </w:tc>
        <w:tc>
          <w:tcPr>
            <w:tcW w:w="146" w:type="dxa"/>
            <w:tcBorders/>
            <w:vAlign w:val="center"/>
          </w:tcPr>
          <w:p>
            <w:pPr>
              <w:pStyle w:val="TableContents"/>
              <w:bidi w:val="0"/>
              <w:spacing w:before="0" w:after="1"/>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67,043</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w:t>
            </w:r>
          </w:p>
        </w:tc>
        <w:tc>
          <w:tcPr>
            <w:tcW w:w="1200"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1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200"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Non-current accounts receivable, net </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2,587</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2,791</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 net of amortization</w:t>
            </w:r>
          </w:p>
        </w:tc>
        <w:tc>
          <w:tcPr>
            <w:tcW w:w="1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666</w:t>
            </w:r>
          </w:p>
        </w:tc>
        <w:tc>
          <w:tcPr>
            <w:tcW w:w="146" w:type="dxa"/>
            <w:tcBorders/>
            <w:vAlign w:val="center"/>
          </w:tcPr>
          <w:p>
            <w:pPr>
              <w:pStyle w:val="TableContents"/>
              <w:bidi w:val="0"/>
              <w:spacing w:before="0" w:after="1"/>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non-current assets</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3,253</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146" w:type="dxa"/>
            <w:tcBorders/>
            <w:vAlign w:val="center"/>
          </w:tcPr>
          <w:p>
            <w:pPr>
              <w:pStyle w:val="TableContents"/>
              <w:bidi w:val="0"/>
              <w:spacing w:before="0" w:after="1"/>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75,753</w:t>
            </w:r>
          </w:p>
        </w:tc>
        <w:tc>
          <w:tcPr>
            <w:tcW w:w="146" w:type="dxa"/>
            <w:tcBorders/>
            <w:vAlign w:val="center"/>
          </w:tcPr>
          <w:p>
            <w:pPr>
              <w:pStyle w:val="TableContents"/>
              <w:bidi w:val="0"/>
              <w:spacing w:before="0" w:after="1"/>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70,551</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1200"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1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 </w:t>
            </w:r>
          </w:p>
        </w:tc>
        <w:tc>
          <w:tcPr>
            <w:tcW w:w="1200" w:type="dxa"/>
            <w:tcBorders/>
            <w:vAlign w:val="center"/>
          </w:tcPr>
          <w:p>
            <w:pPr>
              <w:pStyle w:val="TableContents"/>
              <w:bidi w:val="0"/>
              <w:spacing w:before="0" w:after="1"/>
              <w:ind w:left="0" w:right="0" w:hanging="0"/>
              <w:jc w:val="righ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1200"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5,516</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4,635</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3,696</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5,635</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 liability - current</w:t>
            </w:r>
          </w:p>
        </w:tc>
        <w:tc>
          <w:tcPr>
            <w:tcW w:w="1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3,182</w:t>
            </w:r>
          </w:p>
        </w:tc>
        <w:tc>
          <w:tcPr>
            <w:tcW w:w="146" w:type="dxa"/>
            <w:tcBorders/>
            <w:vAlign w:val="center"/>
          </w:tcPr>
          <w:p>
            <w:pPr>
              <w:pStyle w:val="TableContents"/>
              <w:bidi w:val="0"/>
              <w:spacing w:before="0" w:after="1"/>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12,394</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10,518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200"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Long-term liabilities</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w:t>
            </w:r>
          </w:p>
        </w:tc>
        <w:tc>
          <w:tcPr>
            <w:tcW w:w="1200"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 liability - long-term</w:t>
            </w:r>
          </w:p>
        </w:tc>
        <w:tc>
          <w:tcPr>
            <w:tcW w:w="1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20,917</w:t>
            </w:r>
          </w:p>
        </w:tc>
        <w:tc>
          <w:tcPr>
            <w:tcW w:w="146" w:type="dxa"/>
            <w:tcBorders/>
            <w:vAlign w:val="center"/>
          </w:tcPr>
          <w:p>
            <w:pPr>
              <w:pStyle w:val="TableContents"/>
              <w:bidi w:val="0"/>
              <w:spacing w:before="0" w:after="1"/>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24,561</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long-term liabilities</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20,917</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24,561</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1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33,311</w:t>
            </w:r>
          </w:p>
        </w:tc>
        <w:tc>
          <w:tcPr>
            <w:tcW w:w="146" w:type="dxa"/>
            <w:tcBorders/>
            <w:vAlign w:val="center"/>
          </w:tcPr>
          <w:p>
            <w:pPr>
              <w:pStyle w:val="TableContents"/>
              <w:bidi w:val="0"/>
              <w:spacing w:before="0" w:after="1"/>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35,079</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1200"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Commitments and contingencies (Note 6)</w:t>
            </w:r>
          </w:p>
        </w:tc>
        <w:tc>
          <w:tcPr>
            <w:tcW w:w="1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 </w:t>
            </w:r>
          </w:p>
        </w:tc>
        <w:tc>
          <w:tcPr>
            <w:tcW w:w="1200" w:type="dxa"/>
            <w:tcBorders/>
            <w:vAlign w:val="center"/>
          </w:tcPr>
          <w:p>
            <w:pPr>
              <w:pStyle w:val="TableContents"/>
              <w:bidi w:val="0"/>
              <w:spacing w:before="0" w:after="1"/>
              <w:ind w:left="0" w:right="0" w:hanging="0"/>
              <w:jc w:val="righ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1200"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1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 </w:t>
            </w:r>
          </w:p>
        </w:tc>
        <w:tc>
          <w:tcPr>
            <w:tcW w:w="1200" w:type="dxa"/>
            <w:tcBorders/>
            <w:vAlign w:val="center"/>
          </w:tcPr>
          <w:p>
            <w:pPr>
              <w:pStyle w:val="TableContents"/>
              <w:bidi w:val="0"/>
              <w:spacing w:before="0" w:after="1"/>
              <w:ind w:left="0" w:right="0" w:hanging="0"/>
              <w:jc w:val="righ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Common stock, no par value; </w:t>
            </w:r>
            <w:r>
              <w:rPr>
                <w:rFonts w:ascii="Times New Roman;Times;serif" w:hAnsi="Times New Roman;Times;serif"/>
                <w:b w:val="false"/>
                <w:i w:val="false"/>
                <w:caps w:val="false"/>
                <w:smallCaps w:val="false"/>
                <w:sz w:val="20"/>
              </w:rPr>
              <w:t>unlimited</w:t>
            </w:r>
            <w:r>
              <w:rPr>
                <w:rFonts w:ascii="Times New Roman;Times;serif" w:hAnsi="Times New Roman;Times;serif"/>
                <w:sz w:val="20"/>
              </w:rPr>
              <w:t xml:space="preserve"> shares authorized; 35,034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(2025 </w:t>
              <w:noBreakHyphen/>
              <w:t>34,163)</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193,190</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189,906</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75,257</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 </w:t>
            </w:r>
          </w:p>
        </w:tc>
        <w:tc>
          <w:tcPr>
            <w:tcW w:w="12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73,745</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(227,248)</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(229,422)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1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1,243</w:t>
            </w:r>
          </w:p>
        </w:tc>
        <w:tc>
          <w:tcPr>
            <w:tcW w:w="146" w:type="dxa"/>
            <w:tcBorders/>
            <w:vAlign w:val="center"/>
          </w:tcPr>
          <w:p>
            <w:pPr>
              <w:pStyle w:val="TableContents"/>
              <w:bidi w:val="0"/>
              <w:spacing w:before="0" w:after="1"/>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1,243</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stockholders’ equity</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42,442</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35,472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equity</w:t>
            </w:r>
          </w:p>
        </w:tc>
        <w:tc>
          <w:tcPr>
            <w:tcW w:w="146" w:type="dxa"/>
            <w:tcBorders/>
            <w:vAlign w:val="center"/>
          </w:tcPr>
          <w:p>
            <w:pPr>
              <w:pStyle w:val="TableContents"/>
              <w:bidi w:val="0"/>
              <w:spacing w:before="0" w:after="1"/>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75,753</w:t>
            </w:r>
          </w:p>
        </w:tc>
        <w:tc>
          <w:tcPr>
            <w:tcW w:w="146" w:type="dxa"/>
            <w:tcBorders/>
            <w:vAlign w:val="center"/>
          </w:tcPr>
          <w:p>
            <w:pPr>
              <w:pStyle w:val="TableContents"/>
              <w:bidi w:val="0"/>
              <w:spacing w:before="0" w:after="1"/>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70,551</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200"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center"/>
        <w:rPr/>
      </w:pPr>
      <w:bookmarkStart w:id="131" w:name="_749aa0a0_2ebe_4ad0_9c7e_1177e5898e89"/>
      <w:bookmarkEnd w:id="13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Fennec Pharmaceuticals Inc.</w:t>
      </w:r>
    </w:p>
    <w:p>
      <w:pPr>
        <w:pStyle w:val="TextBody"/>
        <w:bidi w:val="0"/>
        <w:spacing w:before="0" w:after="0"/>
        <w:ind w:left="0" w:right="0" w:hanging="0"/>
        <w:jc w:val="center"/>
        <w:rPr>
          <w:rFonts w:ascii="Times New Roman;Times;serif" w:hAnsi="Times New Roman;Times;serif"/>
          <w:b/>
          <w:sz w:val="20"/>
        </w:rPr>
      </w:pPr>
      <w:bookmarkStart w:id="132" w:name="CondensedConsolidatedStatementsofOperati"/>
      <w:bookmarkEnd w:id="132"/>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and shares in thousands, except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33" w:name="Tc_-7tEz3Hwsk-tGtBbf2OJIw_33_0"/>
      <w:bookmarkStart w:id="134" w:name="Tc_rF4-wcfvrUKEw8n9kRStLA_32_0"/>
      <w:bookmarkStart w:id="135" w:name="Tc_Tyt_8QXIwESP5zo4FuKH4w_31_11"/>
      <w:bookmarkStart w:id="136" w:name="Tc_7jNLZtkNlk--4cVebL1ndw_31_8"/>
      <w:bookmarkStart w:id="137" w:name="Tc_8GpSvNgENU6ctAUGTMfWqQ_31_5"/>
      <w:bookmarkStart w:id="138" w:name="Tc_rvZWlZUr4EutPdgPeZ3YBA_31_2"/>
      <w:bookmarkStart w:id="139" w:name="Tc_hdxbIl5gg0eHLnowLeiJDQ_31_0"/>
      <w:bookmarkStart w:id="140" w:name="Tc_BmPgZev2YEmtYeyHFxgyDg_30_11"/>
      <w:bookmarkStart w:id="141" w:name="Tc_VEAO-AM390-KfR-ne38UrA_30_8"/>
      <w:bookmarkStart w:id="142" w:name="Tc_5F6vl9JL0EmRmupiLX0_Ug_30_5"/>
      <w:bookmarkStart w:id="143" w:name="Tc_9pRl43DF50SmbiHaACKZBg_30_2"/>
      <w:bookmarkStart w:id="144" w:name="Tc_Crk89BEBBEOq0KFECAhmsA_30_0"/>
      <w:bookmarkStart w:id="145" w:name="Tc_NRWJO2ybxkCT_yTDwW3NZg_28_11"/>
      <w:bookmarkStart w:id="146" w:name="Tc_FERg6CnKCE2KsjHhEXzDfg_28_8"/>
      <w:bookmarkStart w:id="147" w:name="Tc_XMBB6fzrL0W707uyaK8CGg_28_5"/>
      <w:bookmarkStart w:id="148" w:name="Tc__AcQMpSEd0CVuwOFrjuFng_28_2"/>
      <w:bookmarkStart w:id="149" w:name="Tc_6tQ-Zq89NUaIYQ1nOSBjRQ_28_0"/>
      <w:bookmarkStart w:id="150" w:name="Tc_MqG4BtZqwUuIwF0d1KKXQg_27_12"/>
      <w:bookmarkStart w:id="151" w:name="Tc_BtRF7Y1WuEmNPbWsuB_0LA_27_6"/>
      <w:bookmarkStart w:id="152" w:name="Tc_XA-DecwO-0-tkJXQzEzU5g_27_0"/>
      <w:bookmarkStart w:id="153" w:name="Tc_rKVOdtwBN0eZVpbAI67t1Q_26_0"/>
      <w:bookmarkStart w:id="154" w:name="Tc_HOaw8uyeSkeHWlmJso0Utw_25_0"/>
      <w:bookmarkStart w:id="155" w:name="Tc_OtKAjXNi70aRi8DH1bp_Dg_24_0"/>
      <w:bookmarkStart w:id="156" w:name="Tc_y75qt88si0WqrQ3h1Roplg_23_0"/>
      <w:bookmarkStart w:id="157" w:name="Tc_lLQMlflP1kGdBBgFb8uVmQ_22_9"/>
      <w:bookmarkStart w:id="158" w:name="Tc_ZO-KAmw1rE-CBZpabwv87A_22_3"/>
      <w:bookmarkStart w:id="159" w:name="Tc_oBVCbv8j5UKkR2SB0zxHiQ_22_0"/>
      <w:bookmarkStart w:id="160" w:name="Tc_R3WMY1MYUU2YI3khxVigXg_21_9"/>
      <w:bookmarkStart w:id="161" w:name="Tc_RpHZNB-_x0O_6tqlSZSstg_21_3"/>
      <w:bookmarkStart w:id="162" w:name="Tc_SJ-cVCN92UiDZd6SBw14Vg_21_0"/>
      <w:bookmarkStart w:id="163" w:name="Tc_3GLygVB0d0-MBEV_dN7uaw_20_0"/>
      <w:bookmarkStart w:id="164" w:name="Tc_Ut2ncgb9r0mKUwldQ27hYw_19_0"/>
      <w:bookmarkStart w:id="165" w:name="Tc_F0l40h_1wk-heA7ZJNrzlQ_17_0"/>
      <w:bookmarkStart w:id="166" w:name="Tc_ghV4rSnYiEuO4re2e4esbw_16_0"/>
      <w:bookmarkStart w:id="167" w:name="Tc_kgESejrock6njp5B95-9yg_14_0"/>
      <w:bookmarkStart w:id="168" w:name="Tc_hZy4cCLujUegoUfLc0Pjaw_13_0"/>
      <w:bookmarkStart w:id="169" w:name="Tc_ErMTwAaHGESo_ulc1nJJIg_12_0"/>
      <w:bookmarkStart w:id="170" w:name="Tc_JtgO8xpNJ0KHAdypjaOi_w_11_0"/>
      <w:bookmarkStart w:id="171" w:name="Tc_cdgpYoNgAUO0KAqKVYt1oQ_10_0"/>
      <w:bookmarkStart w:id="172" w:name="Tc_mcokus_X1kCqFPvHFk30vw_8_0"/>
      <w:bookmarkStart w:id="173" w:name="Tc_sgbrtlrGEEKGPNwHxPhOqQ_7_12"/>
      <w:bookmarkStart w:id="174" w:name="Tc_cmLW9lojP0CngG5S0Tha4w_7_6"/>
      <w:bookmarkStart w:id="175" w:name="Tc_4bgHuSMDEUWiwCadpRhGSQ_7_0"/>
      <w:bookmarkStart w:id="176" w:name="Tc_tjHpQyxRt0Oza4sjAGlFCg_6_11"/>
      <w:bookmarkStart w:id="177" w:name="Tc_tlamvBMiqkunhz-yOKYf5A_6_8"/>
      <w:bookmarkStart w:id="178" w:name="Tc_BQtHuQerHk2CblSPYxj5iQ_6_5"/>
      <w:bookmarkStart w:id="179" w:name="Tc_le_CtE4A90CU7w7H5P-DSA_6_2"/>
      <w:bookmarkStart w:id="180" w:name="Tc_dFq900vuJEazLNge4OFZ7g_6_0"/>
      <w:bookmarkStart w:id="181" w:name="Tc_lIR-wwO0i0eXrSxjQBzdew_5_0"/>
      <w:bookmarkStart w:id="182" w:name="Tc_PYt24dMaM0-EODSz4fl-Uw_3_11"/>
      <w:bookmarkStart w:id="183" w:name="Tc_Wtvgr3aH-U66_TZo1FaYtA_3_8"/>
      <w:bookmarkStart w:id="184" w:name="Tc_74sK4MXUgE6Mtrq7Frw4GA_3_5"/>
      <w:bookmarkStart w:id="185" w:name="Tc_QbbNjKWyc0K6--8V6kjt7Q_3_2"/>
      <w:bookmarkStart w:id="186" w:name="Tc_ch6o_DtYvUSliFqc7z0UxA_2_11"/>
      <w:bookmarkStart w:id="187" w:name="Tc_THoU7ZfgAU2LIPJqzLvG9w_2_8"/>
      <w:bookmarkStart w:id="188" w:name="Tc_DgrFopFjGEqtomChO802RQ_2_5"/>
      <w:bookmarkStart w:id="189" w:name="Tc_g-97vIWqvEaQ71z5w_zjPQ_2_2"/>
      <w:bookmarkStart w:id="190" w:name="Tc_IVyj-sTpSU68-dpoGKDNiQ_1_8"/>
      <w:bookmarkStart w:id="191" w:name="Tc_Sf4ipteAHk2I7Ojd_cjr_w_1_2"/>
      <w:bookmarkStart w:id="192" w:name="_c3ab51a5_c722_4f2e_ae44_a537426deecb"/>
      <w:bookmarkStart w:id="193" w:name="Tc_-7tEz3Hwsk-tGtBbf2OJIw_33_0"/>
      <w:bookmarkStart w:id="194" w:name="Tc_rF4-wcfvrUKEw8n9kRStLA_32_0"/>
      <w:bookmarkStart w:id="195" w:name="Tc_Tyt_8QXIwESP5zo4FuKH4w_31_11"/>
      <w:bookmarkStart w:id="196" w:name="Tc_7jNLZtkNlk--4cVebL1ndw_31_8"/>
      <w:bookmarkStart w:id="197" w:name="Tc_8GpSvNgENU6ctAUGTMfWqQ_31_5"/>
      <w:bookmarkStart w:id="198" w:name="Tc_rvZWlZUr4EutPdgPeZ3YBA_31_2"/>
      <w:bookmarkStart w:id="199" w:name="Tc_hdxbIl5gg0eHLnowLeiJDQ_31_0"/>
      <w:bookmarkStart w:id="200" w:name="Tc_BmPgZev2YEmtYeyHFxgyDg_30_11"/>
      <w:bookmarkStart w:id="201" w:name="Tc_VEAO-AM390-KfR-ne38UrA_30_8"/>
      <w:bookmarkStart w:id="202" w:name="Tc_5F6vl9JL0EmRmupiLX0_Ug_30_5"/>
      <w:bookmarkStart w:id="203" w:name="Tc_9pRl43DF50SmbiHaACKZBg_30_2"/>
      <w:bookmarkStart w:id="204" w:name="Tc_Crk89BEBBEOq0KFECAhmsA_30_0"/>
      <w:bookmarkStart w:id="205" w:name="Tc_NRWJO2ybxkCT_yTDwW3NZg_28_11"/>
      <w:bookmarkStart w:id="206" w:name="Tc_FERg6CnKCE2KsjHhEXzDfg_28_8"/>
      <w:bookmarkStart w:id="207" w:name="Tc_XMBB6fzrL0W707uyaK8CGg_28_5"/>
      <w:bookmarkStart w:id="208" w:name="Tc__AcQMpSEd0CVuwOFrjuFng_28_2"/>
      <w:bookmarkStart w:id="209" w:name="Tc_6tQ-Zq89NUaIYQ1nOSBjRQ_28_0"/>
      <w:bookmarkStart w:id="210" w:name="Tc_MqG4BtZqwUuIwF0d1KKXQg_27_12"/>
      <w:bookmarkStart w:id="211" w:name="Tc_BtRF7Y1WuEmNPbWsuB_0LA_27_6"/>
      <w:bookmarkStart w:id="212" w:name="Tc_XA-DecwO-0-tkJXQzEzU5g_27_0"/>
      <w:bookmarkStart w:id="213" w:name="Tc_rKVOdtwBN0eZVpbAI67t1Q_26_0"/>
      <w:bookmarkStart w:id="214" w:name="Tc_HOaw8uyeSkeHWlmJso0Utw_25_0"/>
      <w:bookmarkStart w:id="215" w:name="Tc_OtKAjXNi70aRi8DH1bp_Dg_24_0"/>
      <w:bookmarkStart w:id="216" w:name="Tc_y75qt88si0WqrQ3h1Roplg_23_0"/>
      <w:bookmarkStart w:id="217" w:name="Tc_lLQMlflP1kGdBBgFb8uVmQ_22_9"/>
      <w:bookmarkStart w:id="218" w:name="Tc_ZO-KAmw1rE-CBZpabwv87A_22_3"/>
      <w:bookmarkStart w:id="219" w:name="Tc_oBVCbv8j5UKkR2SB0zxHiQ_22_0"/>
      <w:bookmarkStart w:id="220" w:name="Tc_R3WMY1MYUU2YI3khxVigXg_21_9"/>
      <w:bookmarkStart w:id="221" w:name="Tc_RpHZNB-_x0O_6tqlSZSstg_21_3"/>
      <w:bookmarkStart w:id="222" w:name="Tc_SJ-cVCN92UiDZd6SBw14Vg_21_0"/>
      <w:bookmarkStart w:id="223" w:name="Tc_3GLygVB0d0-MBEV_dN7uaw_20_0"/>
      <w:bookmarkStart w:id="224" w:name="Tc_Ut2ncgb9r0mKUwldQ27hYw_19_0"/>
      <w:bookmarkStart w:id="225" w:name="Tc_F0l40h_1wk-heA7ZJNrzlQ_17_0"/>
      <w:bookmarkStart w:id="226" w:name="Tc_ghV4rSnYiEuO4re2e4esbw_16_0"/>
      <w:bookmarkStart w:id="227" w:name="Tc_kgESejrock6njp5B95-9yg_14_0"/>
      <w:bookmarkStart w:id="228" w:name="Tc_hZy4cCLujUegoUfLc0Pjaw_13_0"/>
      <w:bookmarkStart w:id="229" w:name="Tc_ErMTwAaHGESo_ulc1nJJIg_12_0"/>
      <w:bookmarkStart w:id="230" w:name="Tc_JtgO8xpNJ0KHAdypjaOi_w_11_0"/>
      <w:bookmarkStart w:id="231" w:name="Tc_cdgpYoNgAUO0KAqKVYt1oQ_10_0"/>
      <w:bookmarkStart w:id="232" w:name="Tc_mcokus_X1kCqFPvHFk30vw_8_0"/>
      <w:bookmarkStart w:id="233" w:name="Tc_sgbrtlrGEEKGPNwHxPhOqQ_7_12"/>
      <w:bookmarkStart w:id="234" w:name="Tc_cmLW9lojP0CngG5S0Tha4w_7_6"/>
      <w:bookmarkStart w:id="235" w:name="Tc_4bgHuSMDEUWiwCadpRhGSQ_7_0"/>
      <w:bookmarkStart w:id="236" w:name="Tc_tjHpQyxRt0Oza4sjAGlFCg_6_11"/>
      <w:bookmarkStart w:id="237" w:name="Tc_tlamvBMiqkunhz-yOKYf5A_6_8"/>
      <w:bookmarkStart w:id="238" w:name="Tc_BQtHuQerHk2CblSPYxj5iQ_6_5"/>
      <w:bookmarkStart w:id="239" w:name="Tc_le_CtE4A90CU7w7H5P-DSA_6_2"/>
      <w:bookmarkStart w:id="240" w:name="Tc_dFq900vuJEazLNge4OFZ7g_6_0"/>
      <w:bookmarkStart w:id="241" w:name="Tc_lIR-wwO0i0eXrSxjQBzdew_5_0"/>
      <w:bookmarkStart w:id="242" w:name="Tc_PYt24dMaM0-EODSz4fl-Uw_3_11"/>
      <w:bookmarkStart w:id="243" w:name="Tc_Wtvgr3aH-U66_TZo1FaYtA_3_8"/>
      <w:bookmarkStart w:id="244" w:name="Tc_74sK4MXUgE6Mtrq7Frw4GA_3_5"/>
      <w:bookmarkStart w:id="245" w:name="Tc_QbbNjKWyc0K6--8V6kjt7Q_3_2"/>
      <w:bookmarkStart w:id="246" w:name="Tc_ch6o_DtYvUSliFqc7z0UxA_2_11"/>
      <w:bookmarkStart w:id="247" w:name="Tc_THoU7ZfgAU2LIPJqzLvG9w_2_8"/>
      <w:bookmarkStart w:id="248" w:name="Tc_DgrFopFjGEqtomChO802RQ_2_5"/>
      <w:bookmarkStart w:id="249" w:name="Tc_g-97vIWqvEaQ71z5w_zjPQ_2_2"/>
      <w:bookmarkStart w:id="250" w:name="Tc_IVyj-sTpSU68-dpoGKDNiQ_1_8"/>
      <w:bookmarkStart w:id="251" w:name="Tc_Sf4ipteAHk2I7Ojd_cjr_w_1_2"/>
      <w:bookmarkStart w:id="252" w:name="_c3ab51a5_c722_4f2e_ae44_a537426deecb"/>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tbl>
      <w:tblPr>
        <w:tblW w:w="10205" w:type="dxa"/>
        <w:jc w:val="left"/>
        <w:tblInd w:w="0" w:type="dxa"/>
        <w:tblLayout w:type="fixed"/>
        <w:tblCellMar>
          <w:top w:w="0" w:type="dxa"/>
          <w:left w:w="0" w:type="dxa"/>
          <w:bottom w:w="0" w:type="dxa"/>
          <w:right w:w="0" w:type="dxa"/>
        </w:tblCellMar>
      </w:tblPr>
      <w:tblGrid>
        <w:gridCol w:w="4800"/>
        <w:gridCol w:w="346"/>
        <w:gridCol w:w="211"/>
        <w:gridCol w:w="782"/>
        <w:gridCol w:w="346"/>
        <w:gridCol w:w="211"/>
        <w:gridCol w:w="782"/>
        <w:gridCol w:w="346"/>
        <w:gridCol w:w="211"/>
        <w:gridCol w:w="782"/>
        <w:gridCol w:w="346"/>
        <w:gridCol w:w="211"/>
        <w:gridCol w:w="831"/>
      </w:tblGrid>
      <w:tr>
        <w:trPr/>
        <w:tc>
          <w:tcPr>
            <w:tcW w:w="4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3048000" cy="175260"/>
                      <wp:effectExtent l="0" t="0" r="0" b="0"/>
                      <wp:wrapNone/>
                      <wp:docPr id="11" name="Frame11"/>
                      <a:graphic xmlns:a="http://schemas.openxmlformats.org/drawingml/2006/main">
                        <a:graphicData uri="http://schemas.microsoft.com/office/word/2010/wordprocessingShape">
                          <wps:wsp>
                            <wps:cNvSpPr txBox="1"/>
                            <wps:spPr>
                              <a:xfrm>
                                <a:off x="0" y="0"/>
                                <a:ext cx="3048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96570" cy="175260"/>
                      <wp:effectExtent l="0" t="0" r="0" b="0"/>
                      <wp:wrapNone/>
                      <wp:docPr id="14" name="Frame14"/>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96570" cy="175260"/>
                      <wp:effectExtent l="0" t="0" r="0" b="0"/>
                      <wp:wrapNone/>
                      <wp:docPr id="17" name="Frame17"/>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96570" cy="175260"/>
                      <wp:effectExtent l="0" t="0" r="0" b="0"/>
                      <wp:wrapNone/>
                      <wp:docPr id="20" name="Frame20"/>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27685" cy="175260"/>
                      <wp:effectExtent l="0" t="0" r="0" b="0"/>
                      <wp:wrapNone/>
                      <wp:docPr id="23" name="Frame23"/>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3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38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8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99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99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10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8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80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1" w:type="dxa"/>
            <w:tcBorders/>
            <w:shd w:fill="CCEEFF" w:val="clear"/>
            <w:vAlign w:val="center"/>
          </w:tcPr>
          <w:p>
            <w:pPr>
              <w:pStyle w:val="TableContents"/>
              <w:bidi w:val="0"/>
              <w:spacing w:before="0" w:after="1"/>
              <w:ind w:left="0" w:right="0" w:hanging="0"/>
              <w:jc w:val="right"/>
              <w:rPr/>
            </w:pPr>
            <w:r>
              <w:rPr/>
              <w:t>​</w:t>
            </w:r>
          </w:p>
        </w:tc>
      </w:tr>
      <w:tr>
        <w:trPr/>
        <w:tc>
          <w:tcPr>
            <w:tcW w:w="480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1" w:type="dxa"/>
            <w:tcBorders/>
            <w:vAlign w:val="center"/>
          </w:tcPr>
          <w:p>
            <w:pPr>
              <w:pStyle w:val="TableContents"/>
              <w:bidi w:val="0"/>
              <w:spacing w:before="0" w:after="1"/>
              <w:ind w:left="0" w:right="0" w:hanging="0"/>
              <w:jc w:val="right"/>
              <w:rPr/>
            </w:pPr>
            <w:r>
              <w:rPr/>
              <w:t>​</w:t>
            </w:r>
          </w:p>
        </w:tc>
      </w:tr>
      <w:tr>
        <w:trPr/>
        <w:tc>
          <w:tcPr>
            <w:tcW w:w="48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PEDMARK product sales,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9,652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18,403</w:t>
            </w:r>
          </w:p>
        </w:tc>
      </w:tr>
      <w:tr>
        <w:trPr/>
        <w:tc>
          <w:tcPr>
            <w:tcW w:w="48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2"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80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2"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9,652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18,403</w:t>
            </w:r>
          </w:p>
        </w:tc>
      </w:tr>
      <w:tr>
        <w:trPr/>
        <w:tc>
          <w:tcPr>
            <w:tcW w:w="48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1" w:type="dxa"/>
            <w:tcBorders/>
            <w:vAlign w:val="center"/>
          </w:tcPr>
          <w:p>
            <w:pPr>
              <w:pStyle w:val="TableContents"/>
              <w:bidi w:val="0"/>
              <w:spacing w:before="0" w:after="1"/>
              <w:ind w:left="0" w:right="0" w:hanging="0"/>
              <w:jc w:val="right"/>
              <w:rPr/>
            </w:pPr>
            <w:r>
              <w:rPr/>
              <w:t>​</w:t>
            </w:r>
          </w:p>
        </w:tc>
      </w:tr>
      <w:tr>
        <w:trPr/>
        <w:tc>
          <w:tcPr>
            <w:tcW w:w="480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31" w:type="dxa"/>
            <w:tcBorders/>
            <w:shd w:fill="CCEEFF" w:val="clear"/>
            <w:vAlign w:val="center"/>
          </w:tcPr>
          <w:p>
            <w:pPr>
              <w:pStyle w:val="TableContents"/>
              <w:bidi w:val="0"/>
              <w:spacing w:before="0" w:after="1"/>
              <w:ind w:left="0" w:right="0" w:hanging="0"/>
              <w:jc w:val="right"/>
              <w:rPr/>
            </w:pPr>
            <w:r>
              <w:rPr/>
              <w:t>  ​</w:t>
            </w:r>
          </w:p>
        </w:tc>
      </w:tr>
      <w:tr>
        <w:trPr/>
        <w:tc>
          <w:tcPr>
            <w:tcW w:w="48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1,340</w:t>
            </w:r>
          </w:p>
        </w:tc>
      </w:tr>
      <w:tr>
        <w:trPr/>
        <w:tc>
          <w:tcPr>
            <w:tcW w:w="48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w:t>
            </w:r>
          </w:p>
        </w:tc>
      </w:tr>
      <w:tr>
        <w:trPr/>
        <w:tc>
          <w:tcPr>
            <w:tcW w:w="48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10,659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22,081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8,011</w:t>
            </w:r>
          </w:p>
        </w:tc>
      </w:tr>
      <w:tr>
        <w:trPr/>
        <w:tc>
          <w:tcPr>
            <w:tcW w:w="48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12,391</w:t>
            </w:r>
          </w:p>
        </w:tc>
      </w:tr>
      <w:tr>
        <w:trPr/>
        <w:tc>
          <w:tcPr>
            <w:tcW w:w="48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2"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2"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2"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31" w:type="dxa"/>
            <w:tcBorders/>
            <w:vAlign w:val="center"/>
          </w:tcPr>
          <w:p>
            <w:pPr>
              <w:pStyle w:val="TableContents"/>
              <w:bidi w:val="0"/>
              <w:spacing w:before="0" w:after="1"/>
              <w:ind w:left="0" w:right="0" w:hanging="0"/>
              <w:jc w:val="center"/>
              <w:rPr/>
            </w:pPr>
            <w:r>
              <w:rPr/>
              <w:t>  ​</w:t>
            </w:r>
          </w:p>
        </w:tc>
      </w:tr>
      <w:tr>
        <w:trPr/>
        <w:tc>
          <w:tcPr>
            <w:tcW w:w="480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(16,137)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2"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(12,384)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(21,943)</w:t>
            </w:r>
          </w:p>
        </w:tc>
      </w:tr>
      <w:tr>
        <w:trPr/>
        <w:tc>
          <w:tcPr>
            <w:tcW w:w="480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Income/(loss) from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(2,732)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(3,540)</w:t>
            </w:r>
          </w:p>
        </w:tc>
      </w:tr>
      <w:tr>
        <w:trPr/>
        <w:tc>
          <w:tcPr>
            <w:tcW w:w="480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2"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31" w:type="dxa"/>
            <w:tcBorders/>
            <w:shd w:fill="CCEEFF" w:val="clear"/>
            <w:vAlign w:val="center"/>
          </w:tcPr>
          <w:p>
            <w:pPr>
              <w:pStyle w:val="TableContents"/>
              <w:bidi w:val="0"/>
              <w:spacing w:before="0" w:after="1"/>
              <w:ind w:left="0" w:right="0" w:hanging="0"/>
              <w:jc w:val="center"/>
              <w:rPr/>
            </w:pPr>
            <w:r>
              <w:rPr/>
              <w:t>  ​</w:t>
            </w:r>
          </w:p>
        </w:tc>
      </w:tr>
      <w:tr>
        <w:trPr/>
        <w:tc>
          <w:tcPr>
            <w:tcW w:w="480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(expense)/income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2"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2"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2"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31" w:type="dxa"/>
            <w:tcBorders/>
            <w:vAlign w:val="center"/>
          </w:tcPr>
          <w:p>
            <w:pPr>
              <w:pStyle w:val="TableContents"/>
              <w:bidi w:val="0"/>
              <w:spacing w:before="0" w:after="1"/>
              <w:ind w:left="0" w:right="0" w:hanging="0"/>
              <w:jc w:val="center"/>
              <w:rPr/>
            </w:pPr>
            <w:r>
              <w:rPr/>
              <w:t>  ​</w:t>
            </w:r>
          </w:p>
        </w:tc>
      </w:tr>
      <w:tr>
        <w:trPr/>
        <w:tc>
          <w:tcPr>
            <w:tcW w:w="48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foreign exchange (loss)/gain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48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48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loss on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8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w:t>
            </w:r>
          </w:p>
        </w:tc>
      </w:tr>
      <w:tr>
        <w:trPr/>
        <w:tc>
          <w:tcPr>
            <w:tcW w:w="48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(1,186)</w:t>
            </w:r>
          </w:p>
        </w:tc>
      </w:tr>
      <w:tr>
        <w:trPr/>
        <w:tc>
          <w:tcPr>
            <w:tcW w:w="48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income/(expense)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(420)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(777)</w:t>
            </w:r>
          </w:p>
        </w:tc>
      </w:tr>
      <w:tr>
        <w:trPr/>
        <w:tc>
          <w:tcPr>
            <w:tcW w:w="48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Income/(loss) before provision for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(4,317)</w:t>
            </w:r>
          </w:p>
        </w:tc>
      </w:tr>
      <w:tr>
        <w:trPr/>
        <w:tc>
          <w:tcPr>
            <w:tcW w:w="48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80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(3,152)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(4,317)</w:t>
            </w:r>
          </w:p>
        </w:tc>
      </w:tr>
      <w:tr>
        <w:trPr/>
        <w:tc>
          <w:tcPr>
            <w:tcW w:w="48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1" w:type="dxa"/>
            <w:tcBorders/>
            <w:vAlign w:val="center"/>
          </w:tcPr>
          <w:p>
            <w:pPr>
              <w:pStyle w:val="TableContents"/>
              <w:bidi w:val="0"/>
              <w:spacing w:before="0" w:after="1"/>
              <w:ind w:left="0" w:right="0" w:hanging="0"/>
              <w:jc w:val="left"/>
              <w:rPr/>
            </w:pPr>
            <w:r>
              <w:rPr/>
              <w:t>​</w:t>
            </w:r>
          </w:p>
        </w:tc>
      </w:tr>
      <w:tr>
        <w:trPr/>
        <w:tc>
          <w:tcPr>
            <w:tcW w:w="480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net income/(loss) per common share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7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(0.11)</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7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(0.16)</w:t>
            </w:r>
          </w:p>
        </w:tc>
      </w:tr>
      <w:tr>
        <w:trPr/>
        <w:tc>
          <w:tcPr>
            <w:tcW w:w="480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Diluted net income/(loss) per common share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0.05</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7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(0.11)</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7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(0.16)</w:t>
            </w:r>
          </w:p>
        </w:tc>
      </w:tr>
      <w:tr>
        <w:trPr/>
        <w:tc>
          <w:tcPr>
            <w:tcW w:w="480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Weighted-average number of common shares outstanding basic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34,545</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27,664</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34,596</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27,621</w:t>
            </w:r>
          </w:p>
        </w:tc>
      </w:tr>
      <w:tr>
        <w:trPr/>
        <w:tc>
          <w:tcPr>
            <w:tcW w:w="480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Weighted-average number of common shares outstanding diluted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36,430</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pPr>
            <w:r>
              <w:rPr/>
              <w:t> </w:t>
            </w:r>
          </w:p>
        </w:tc>
        <w:tc>
          <w:tcPr>
            <w:tcW w:w="7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27,664</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7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37,410</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83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27,621</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53" w:name="_3786557f_32be_4928_b996_b8b10f10087c"/>
      <w:bookmarkEnd w:id="253"/>
      <w:r>
        <w:rPr>
          <w:rFonts w:ascii="Times New Roman;Times;serif" w:hAnsi="Times New Roman;Times;serif"/>
          <w:b/>
          <w:sz w:val="20"/>
        </w:rPr>
        <w:t>Fennec Pharmaceuticals Inc.</w:t>
      </w:r>
    </w:p>
    <w:p>
      <w:pPr>
        <w:pStyle w:val="TextBody"/>
        <w:bidi w:val="0"/>
        <w:spacing w:before="0" w:after="0"/>
        <w:ind w:left="0" w:right="0" w:hanging="0"/>
        <w:jc w:val="center"/>
        <w:rPr>
          <w:rFonts w:ascii="Times New Roman;Times;serif" w:hAnsi="Times New Roman;Times;serif"/>
          <w:sz w:val="20"/>
        </w:rPr>
      </w:pPr>
      <w:bookmarkStart w:id="254" w:name="CondensedConsolidatedStatementsofStockho"/>
      <w:bookmarkEnd w:id="254"/>
      <w:r>
        <w:rPr>
          <w:rFonts w:ascii="Times New Roman;Times;serif" w:hAnsi="Times New Roman;Times;serif"/>
          <w:b/>
          <w:sz w:val="20"/>
        </w:rPr>
        <w:t>Condensed Consolidated Statements of Stockholders’ Equity</w:t>
      </w:r>
      <w:r>
        <w:rPr>
          <w:rFonts w:ascii="Times New Roman;Times;serif" w:hAnsi="Times New Roman;Times;serif"/>
          <w:sz w:val="20"/>
        </w:rPr>
        <w:t xml:space="preserve"> </w:t>
      </w:r>
      <w:r>
        <w:rPr>
          <w:rFonts w:ascii="Times New Roman;Times;serif" w:hAnsi="Times New Roman;Times;serif"/>
          <w:b/>
          <w:sz w:val="20"/>
        </w:rPr>
        <w:t>(Deficit)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and Six Months Ended June 30, 2026, and 2025</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and shares 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55" w:name="Tc_LJ9iA1e-OE-cQEoOmVgKVA_32_16"/>
      <w:bookmarkStart w:id="256" w:name="Tc_W8mwE09IxUuKDZRDiDw62Q_32_13"/>
      <w:bookmarkStart w:id="257" w:name="Tc_WmwUd0MZUky5kudoM9cUhA_32_10"/>
      <w:bookmarkStart w:id="258" w:name="Tc_NOOF2SznuUqmFR4ogJbCxA_32_7"/>
      <w:bookmarkStart w:id="259" w:name="Tc_LeFFLSzeh0S7HGA-86lLHw_32_4"/>
      <w:bookmarkStart w:id="260" w:name="Tc_WWpcTWkczk-AG9k0OgLADQ_32_0"/>
      <w:bookmarkStart w:id="261" w:name="Tc_pdmu3uICeEOOLg5QCapC4A_31_14"/>
      <w:bookmarkStart w:id="262" w:name="Tc_4FXcu8j0GkuYZgKPA_jgtA_31_8"/>
      <w:bookmarkStart w:id="263" w:name="Tc_Igg_marcs0m4hOdK_wtLjg_31_5"/>
      <w:bookmarkStart w:id="264" w:name="Tc_6IQmnK43NkaJqysen-_iOg_31_2"/>
      <w:bookmarkStart w:id="265" w:name="Tc__JRLw0zOFUW1gr6BKai9Kw_31_0"/>
      <w:bookmarkStart w:id="266" w:name="Tc_CMfBHSwUCkGK6dE7LD-1EQ_30_14"/>
      <w:bookmarkStart w:id="267" w:name="Tc_NTH9-EpE1Uadg-KOm8RgXw_30_11"/>
      <w:bookmarkStart w:id="268" w:name="Tc_mbMMqVps8k-oZHXddEMMTg_30_5"/>
      <w:bookmarkStart w:id="269" w:name="Tc_b6XMPwxdkEufDDFSxmmiOg_30_0"/>
      <w:bookmarkStart w:id="270" w:name="Tc_dR-mkIPm1EGaIdizoBkxaw_29_14"/>
      <w:bookmarkStart w:id="271" w:name="Tc_CcdcGiABfkeYc9xIOm10jw_29_11"/>
      <w:bookmarkStart w:id="272" w:name="Tc_KNw-QR-tzEqONY5qAphqTw_29_8"/>
      <w:bookmarkStart w:id="273" w:name="Tc_IWjYjFSIZUKBJ6tzOcv29Q_29_0"/>
      <w:bookmarkStart w:id="274" w:name="Tc_qhBGb09mkUijizhlqNrxpw_28_14"/>
      <w:bookmarkStart w:id="275" w:name="Tc_Ev7t0WUbqEmjRt8D8GWPrw_28_11"/>
      <w:bookmarkStart w:id="276" w:name="Tc_DKuyLKuGS0-JtjaVUD_PIg_28_5"/>
      <w:bookmarkStart w:id="277" w:name="Tc_uIxWUbL1oUqsUkskuO4H-w_28_2"/>
      <w:bookmarkStart w:id="278" w:name="Tc_6AhqBoJFXkOYmvd80h-p8Q_28_0"/>
      <w:bookmarkStart w:id="279" w:name="Tc_DmlcbUAypEKOyJCmAg4dQw_27_0"/>
      <w:bookmarkStart w:id="280" w:name="Tc_YemdaTIPqU2ERaoG5gfoYw_26_14"/>
      <w:bookmarkStart w:id="281" w:name="Tc_vlEkVykZhE2M3e3s9CRGVg_26_8"/>
      <w:bookmarkStart w:id="282" w:name="Tc_AUxQK51tRkq-tVNTY2YHbg_26_5"/>
      <w:bookmarkStart w:id="283" w:name="Tc_QF7a9xQUvE6SLHFVLajnfA_26_2"/>
      <w:bookmarkStart w:id="284" w:name="Tc_T6BcaGR73kyeEfnN07yGvw_26_0"/>
      <w:bookmarkStart w:id="285" w:name="Tc_p-h_4NpsA0CBVc2gGAtUTw_25_14"/>
      <w:bookmarkStart w:id="286" w:name="Tc_L0nmsF5rb0W9TnYW0y65rA_25_11"/>
      <w:bookmarkStart w:id="287" w:name="Tc_JpJichv1GkijEUjmWszoMw_25_5"/>
      <w:bookmarkStart w:id="288" w:name="Tc_ICcE-86EX0GmG8NLxXGTgw_25_0"/>
      <w:bookmarkStart w:id="289" w:name="Tc_zLgUvJcMUUCeWZ1b1pDFCg_24_14"/>
      <w:bookmarkStart w:id="290" w:name="Tc_2FV2mJ0YK02xHTiRBtZ4rw_24_11"/>
      <w:bookmarkStart w:id="291" w:name="Tc_QCf-C9aF2Eu2VByj5z8MZA_24_8"/>
      <w:bookmarkStart w:id="292" w:name="Tc_wfn91coLIkKSXu7zn8q4Yw_24_0"/>
      <w:bookmarkStart w:id="293" w:name="Tc_HE6-PH_dwEi9DGpcWCQPWA_23_14"/>
      <w:bookmarkStart w:id="294" w:name="Tc_RxopuL88PkyUrnLjizhDkw_23_11"/>
      <w:bookmarkStart w:id="295" w:name="Tc_UE4SYt_utk-Mcp9iie2rWA_23_5"/>
      <w:bookmarkStart w:id="296" w:name="Tc_Fz-EWa4cHEyvnpTPFaq_hw_23_2"/>
      <w:bookmarkStart w:id="297" w:name="Tc_YHyyquqQiku4eMpdf0f5EQ_23_0"/>
      <w:bookmarkStart w:id="298" w:name="Tc_ouB1agBXG0y41OnRVY2tPA_22_16"/>
      <w:bookmarkStart w:id="299" w:name="Tc_q96FOn-e-keZLEQR2uIXIQ_22_13"/>
      <w:bookmarkStart w:id="300" w:name="Tc_H4xQlSwtN0eBjW6A41MyYg_22_10"/>
      <w:bookmarkStart w:id="301" w:name="Tc_d5US5bX59UOTS_NLShyJmg_22_7"/>
      <w:bookmarkStart w:id="302" w:name="Tc_6NgFiasOGkmRRGnAdV9eCA_22_4"/>
      <w:bookmarkStart w:id="303" w:name="Tc_U2QenIWBgk-p0n41uDla7Q_22_0"/>
      <w:bookmarkStart w:id="304" w:name="Tc_Bq_z4CEtykiqmEA6h4Yp0Q_21_16"/>
      <w:bookmarkStart w:id="305" w:name="Tc_YmU6UjmVjUCD-0DTCu7u1A_21_13"/>
      <w:bookmarkStart w:id="306" w:name="Tc_qVoy6KYpi0CHmGtbGYl8-A_21_10"/>
      <w:bookmarkStart w:id="307" w:name="Tc_g2xEl4Zew0upO-Fr-LP0zg_21_7"/>
      <w:bookmarkStart w:id="308" w:name="Tc_RGzsWuzEn0a4GCHKtYSlUg_21_4"/>
      <w:bookmarkStart w:id="309" w:name="Tc_I9Rm3wLl8kG7KQ-C4URE-g_21_2"/>
      <w:bookmarkStart w:id="310" w:name="Tc_pzga4FOLMUSbDhxktNuU4Q_20_16"/>
      <w:bookmarkStart w:id="311" w:name="Tc_rGw-QXenqkq_deKSbGGLOA_20_13"/>
      <w:bookmarkStart w:id="312" w:name="Tc_4dObFb74rECrt2mOFEhDsQ_20_10"/>
      <w:bookmarkStart w:id="313" w:name="Tc_UjJgiTmeHk-Tf6iwG4CuCA_20_7"/>
      <w:bookmarkStart w:id="314" w:name="Tc_Dv2OsBPFVUiwzHZJPJ4kZw_20_2"/>
      <w:bookmarkStart w:id="315" w:name="Tc_eFzf8xBIbEWhKtCHYM5E6g_19_16"/>
      <w:bookmarkStart w:id="316" w:name="Tc_169DzwDHSkGC6w5dmfqvlA_19_13"/>
      <w:bookmarkStart w:id="317" w:name="Tc_Y-oulwoOSkiv40m3GAtEIg_19_7"/>
      <w:bookmarkStart w:id="318" w:name="Tc_-620L-Nslkq0QwQ9fFDVXQ_18_13"/>
      <w:bookmarkStart w:id="319" w:name="Tc_WtPp0nGNbkWEo8DF7l10cA_16_16"/>
      <w:bookmarkStart w:id="320" w:name="Tc_-YF7GrLKCkuWJWAMrc4yCg_16_13"/>
      <w:bookmarkStart w:id="321" w:name="Tc_r2zMzS6QNEOklix5uSYpvw_16_10"/>
      <w:bookmarkStart w:id="322" w:name="Tc_XaKqkxogsk-x0pCQm5hMfQ_16_7"/>
      <w:bookmarkStart w:id="323" w:name="Tc_S7m2IMQX1UaGiq0ADK1akA_16_4"/>
      <w:bookmarkStart w:id="324" w:name="Tc_0ew39etTUk20z0NdIUqEew_16_0"/>
      <w:bookmarkStart w:id="325" w:name="Tc_17CnpBKuA0qpj1rSWOJSOw_15_14"/>
      <w:bookmarkStart w:id="326" w:name="Tc_FOYBF-NJk0WAsdzJYHG6ZQ_15_8"/>
      <w:bookmarkStart w:id="327" w:name="Tc_HiU8HoKVUUKqwkyjhrfuIw_15_5"/>
      <w:bookmarkStart w:id="328" w:name="Tc_mSvwHZdHikSWATg8msuvBg_15_2"/>
      <w:bookmarkStart w:id="329" w:name="Tc_4Ozzwo_-t0ep37ZAPVXznQ_15_0"/>
      <w:bookmarkStart w:id="330" w:name="Tc_AUI6j6TDC0aUwRo_qzVDUg_14_14"/>
      <w:bookmarkStart w:id="331" w:name="Tc_JMvafQWQWku1SD0y77VJew_14_11"/>
      <w:bookmarkStart w:id="332" w:name="Tc_uVaA1fRB2kaDuHbvN33wTA_14_5"/>
      <w:bookmarkStart w:id="333" w:name="Tc_iH__3lNOskWs23EK8aa-zA_14_0"/>
      <w:bookmarkStart w:id="334" w:name="Tc_KedYrFpoAkacg2MvXKeRWg_13_14"/>
      <w:bookmarkStart w:id="335" w:name="Tc_ZA2Vge-TJUODDrKTDFQJYA_13_11"/>
      <w:bookmarkStart w:id="336" w:name="Tc_2Iadn9M99U2jdAXDqtAK8Q_13_8"/>
      <w:bookmarkStart w:id="337" w:name="Tc_c_C6TIndW0GFqkKd1aFHwQ_13_0"/>
      <w:bookmarkStart w:id="338" w:name="Tc_7iG1WAForkyQjDLrdqYIZQ_12_14"/>
      <w:bookmarkStart w:id="339" w:name="Tc_k-HD4NDYfUmxvqOesou1sw_12_11"/>
      <w:bookmarkStart w:id="340" w:name="Tc_4RLvI9_x00uMtnZzjHLtfg_12_5"/>
      <w:bookmarkStart w:id="341" w:name="Tc_eMYvxhLzLkGNqNqJShRxUw_12_2"/>
      <w:bookmarkStart w:id="342" w:name="Tc_dfiy1blSoECNOTFcZ8CL7A_12_0"/>
      <w:bookmarkStart w:id="343" w:name="Tc__owttw6HEk-UN2esFiuUrg_11_14"/>
      <w:bookmarkStart w:id="344" w:name="Tc_F8K0MdAT_0yw_43-DktqRA_11_11"/>
      <w:bookmarkStart w:id="345" w:name="Tc_Y0KwfoBWukSfOCNDBDzOTQ_11_5"/>
      <w:bookmarkStart w:id="346" w:name="Tc_xG_lAJ6xykWRES1l-O56mQ_11_2"/>
      <w:bookmarkStart w:id="347" w:name="Tc_rTnbDY4tfE61diiVdfXgLA_11_0"/>
      <w:bookmarkStart w:id="348" w:name="Tc_ItQqAO4fLUyYyCkDv0kYlg_10_16"/>
      <w:bookmarkStart w:id="349" w:name="Tc_285Mtzr7jkmCSbV-mSHGgQ_10_0"/>
      <w:bookmarkStart w:id="350" w:name="Tc_EEwIGN6cjUC2MDARs3sAuA_9_14"/>
      <w:bookmarkStart w:id="351" w:name="Tc_iMxfexlUfU-LNI8d36xU-g_9_8"/>
      <w:bookmarkStart w:id="352" w:name="Tc_7ST3wvoCckmDNBGBxdWCCw_9_5"/>
      <w:bookmarkStart w:id="353" w:name="Tc_Qipldb50cUmckAEqJGYJwg_9_2"/>
      <w:bookmarkStart w:id="354" w:name="Tc_JNR157UfWE2voI34gvqUkA_9_0"/>
      <w:bookmarkStart w:id="355" w:name="Tc_NM4N4oZVpk29re2myE2n0g_8_14"/>
      <w:bookmarkStart w:id="356" w:name="Tc_WXVJ7o48m0q5FWJE9UjEUg_8_11"/>
      <w:bookmarkStart w:id="357" w:name="Tc_-67iqWIEYUO7NEQ3lCPG2w_8_5"/>
      <w:bookmarkStart w:id="358" w:name="Tc_Bwyfiy8iKEWsC5_nmeCu-Q_8_0"/>
      <w:bookmarkStart w:id="359" w:name="Tc_4NPX_lZ_TkWMvqkcMzrJHQ_7_14"/>
      <w:bookmarkStart w:id="360" w:name="Tc_y6J-lnoIa02FHnSWQ_4Ydw_7_11"/>
      <w:bookmarkStart w:id="361" w:name="Tc_96tv6B5DmESGlCB6nbVALg_7_8"/>
      <w:bookmarkStart w:id="362" w:name="Tc_-fS1-mtd6UeenOuiF0M66g_7_0"/>
      <w:bookmarkStart w:id="363" w:name="Tc_oHFYUvqUDEmzb9lMZtM3dQ_6_0"/>
      <w:bookmarkStart w:id="364" w:name="Tc_BfeyBcjs30CMoE1ZGvzFKw_5_16"/>
      <w:bookmarkStart w:id="365" w:name="Tc_P8WbsO-f1kOVIb6zKn_CUg_5_13"/>
      <w:bookmarkStart w:id="366" w:name="Tc_1YYBUfs1z0ufS7PMdOntaw_5_10"/>
      <w:bookmarkStart w:id="367" w:name="Tc_PuDMkZNlVk-MlN-1OLOKmQ_5_7"/>
      <w:bookmarkStart w:id="368" w:name="Tc_hYOqTCEqGkG0aWurnvnN4A_5_4"/>
      <w:bookmarkStart w:id="369" w:name="Tc_zkN-vlbGf0q9QWt0yYjddg_5_0"/>
      <w:bookmarkStart w:id="370" w:name="Tc_0yGtphya5USDfuOnUGboOA_4_16"/>
      <w:bookmarkStart w:id="371" w:name="Tc_WIffapMC-Uqu-_rHj7r2qw_4_13"/>
      <w:bookmarkStart w:id="372" w:name="Tc_sn0GeLzJqEWzG48-ELNehw_4_10"/>
      <w:bookmarkStart w:id="373" w:name="Tc_nTFcMdoJk0eOBIshHvJdYA_4_7"/>
      <w:bookmarkStart w:id="374" w:name="Tc_AOHreIV2sUaOsMqrr8BqKA_4_4"/>
      <w:bookmarkStart w:id="375" w:name="Tc_6NNoYYnq-UaXFRyoiE7SGA_4_2"/>
      <w:bookmarkStart w:id="376" w:name="Tc_sygCFoRxMkmyy_P4Vx08ZA_3_16"/>
      <w:bookmarkStart w:id="377" w:name="Tc_j80fgqK_pUiThkk8FjTe3g_3_13"/>
      <w:bookmarkStart w:id="378" w:name="Tc_phVI0vZjS0KzGE8fdkljCw_3_10"/>
      <w:bookmarkStart w:id="379" w:name="Tc_RWMHkcqhr0Gel285cizOHQ_3_7"/>
      <w:bookmarkStart w:id="380" w:name="Tc_d9-D_Rtzr0KnM791bG7KaA_3_2"/>
      <w:bookmarkStart w:id="381" w:name="Tc_RXW5t2GG1UKJdY4uOoN65Q_2_16"/>
      <w:bookmarkStart w:id="382" w:name="Tc_uakU0i3W9kaef9LTFMGFBQ_2_13"/>
      <w:bookmarkStart w:id="383" w:name="Tc__C-sy6N7gkW64wKln7I-cQ_2_7"/>
      <w:bookmarkStart w:id="384" w:name="Tc_Jve5h4TXe0yznicqWMAKog_1_13"/>
      <w:bookmarkStart w:id="385" w:name="_85b6822f_e354_4bc6_a0a4_a903f0d4b622"/>
      <w:bookmarkStart w:id="386" w:name="Tc_LJ9iA1e-OE-cQEoOmVgKVA_32_16"/>
      <w:bookmarkStart w:id="387" w:name="Tc_W8mwE09IxUuKDZRDiDw62Q_32_13"/>
      <w:bookmarkStart w:id="388" w:name="Tc_WmwUd0MZUky5kudoM9cUhA_32_10"/>
      <w:bookmarkStart w:id="389" w:name="Tc_NOOF2SznuUqmFR4ogJbCxA_32_7"/>
      <w:bookmarkStart w:id="390" w:name="Tc_LeFFLSzeh0S7HGA-86lLHw_32_4"/>
      <w:bookmarkStart w:id="391" w:name="Tc_WWpcTWkczk-AG9k0OgLADQ_32_0"/>
      <w:bookmarkStart w:id="392" w:name="Tc_pdmu3uICeEOOLg5QCapC4A_31_14"/>
      <w:bookmarkStart w:id="393" w:name="Tc_4FXcu8j0GkuYZgKPA_jgtA_31_8"/>
      <w:bookmarkStart w:id="394" w:name="Tc_Igg_marcs0m4hOdK_wtLjg_31_5"/>
      <w:bookmarkStart w:id="395" w:name="Tc_6IQmnK43NkaJqysen-_iOg_31_2"/>
      <w:bookmarkStart w:id="396" w:name="Tc__JRLw0zOFUW1gr6BKai9Kw_31_0"/>
      <w:bookmarkStart w:id="397" w:name="Tc_CMfBHSwUCkGK6dE7LD-1EQ_30_14"/>
      <w:bookmarkStart w:id="398" w:name="Tc_NTH9-EpE1Uadg-KOm8RgXw_30_11"/>
      <w:bookmarkStart w:id="399" w:name="Tc_mbMMqVps8k-oZHXddEMMTg_30_5"/>
      <w:bookmarkStart w:id="400" w:name="Tc_b6XMPwxdkEufDDFSxmmiOg_30_0"/>
      <w:bookmarkStart w:id="401" w:name="Tc_dR-mkIPm1EGaIdizoBkxaw_29_14"/>
      <w:bookmarkStart w:id="402" w:name="Tc_CcdcGiABfkeYc9xIOm10jw_29_11"/>
      <w:bookmarkStart w:id="403" w:name="Tc_KNw-QR-tzEqONY5qAphqTw_29_8"/>
      <w:bookmarkStart w:id="404" w:name="Tc_IWjYjFSIZUKBJ6tzOcv29Q_29_0"/>
      <w:bookmarkStart w:id="405" w:name="Tc_qhBGb09mkUijizhlqNrxpw_28_14"/>
      <w:bookmarkStart w:id="406" w:name="Tc_Ev7t0WUbqEmjRt8D8GWPrw_28_11"/>
      <w:bookmarkStart w:id="407" w:name="Tc_DKuyLKuGS0-JtjaVUD_PIg_28_5"/>
      <w:bookmarkStart w:id="408" w:name="Tc_uIxWUbL1oUqsUkskuO4H-w_28_2"/>
      <w:bookmarkStart w:id="409" w:name="Tc_6AhqBoJFXkOYmvd80h-p8Q_28_0"/>
      <w:bookmarkStart w:id="410" w:name="Tc_DmlcbUAypEKOyJCmAg4dQw_27_0"/>
      <w:bookmarkStart w:id="411" w:name="Tc_YemdaTIPqU2ERaoG5gfoYw_26_14"/>
      <w:bookmarkStart w:id="412" w:name="Tc_vlEkVykZhE2M3e3s9CRGVg_26_8"/>
      <w:bookmarkStart w:id="413" w:name="Tc_AUxQK51tRkq-tVNTY2YHbg_26_5"/>
      <w:bookmarkStart w:id="414" w:name="Tc_QF7a9xQUvE6SLHFVLajnfA_26_2"/>
      <w:bookmarkStart w:id="415" w:name="Tc_T6BcaGR73kyeEfnN07yGvw_26_0"/>
      <w:bookmarkStart w:id="416" w:name="Tc_p-h_4NpsA0CBVc2gGAtUTw_25_14"/>
      <w:bookmarkStart w:id="417" w:name="Tc_L0nmsF5rb0W9TnYW0y65rA_25_11"/>
      <w:bookmarkStart w:id="418" w:name="Tc_JpJichv1GkijEUjmWszoMw_25_5"/>
      <w:bookmarkStart w:id="419" w:name="Tc_ICcE-86EX0GmG8NLxXGTgw_25_0"/>
      <w:bookmarkStart w:id="420" w:name="Tc_zLgUvJcMUUCeWZ1b1pDFCg_24_14"/>
      <w:bookmarkStart w:id="421" w:name="Tc_2FV2mJ0YK02xHTiRBtZ4rw_24_11"/>
      <w:bookmarkStart w:id="422" w:name="Tc_QCf-C9aF2Eu2VByj5z8MZA_24_8"/>
      <w:bookmarkStart w:id="423" w:name="Tc_wfn91coLIkKSXu7zn8q4Yw_24_0"/>
      <w:bookmarkStart w:id="424" w:name="Tc_HE6-PH_dwEi9DGpcWCQPWA_23_14"/>
      <w:bookmarkStart w:id="425" w:name="Tc_RxopuL88PkyUrnLjizhDkw_23_11"/>
      <w:bookmarkStart w:id="426" w:name="Tc_UE4SYt_utk-Mcp9iie2rWA_23_5"/>
      <w:bookmarkStart w:id="427" w:name="Tc_Fz-EWa4cHEyvnpTPFaq_hw_23_2"/>
      <w:bookmarkStart w:id="428" w:name="Tc_YHyyquqQiku4eMpdf0f5EQ_23_0"/>
      <w:bookmarkStart w:id="429" w:name="Tc_ouB1agBXG0y41OnRVY2tPA_22_16"/>
      <w:bookmarkStart w:id="430" w:name="Tc_q96FOn-e-keZLEQR2uIXIQ_22_13"/>
      <w:bookmarkStart w:id="431" w:name="Tc_H4xQlSwtN0eBjW6A41MyYg_22_10"/>
      <w:bookmarkStart w:id="432" w:name="Tc_d5US5bX59UOTS_NLShyJmg_22_7"/>
      <w:bookmarkStart w:id="433" w:name="Tc_6NgFiasOGkmRRGnAdV9eCA_22_4"/>
      <w:bookmarkStart w:id="434" w:name="Tc_U2QenIWBgk-p0n41uDla7Q_22_0"/>
      <w:bookmarkStart w:id="435" w:name="Tc_Bq_z4CEtykiqmEA6h4Yp0Q_21_16"/>
      <w:bookmarkStart w:id="436" w:name="Tc_YmU6UjmVjUCD-0DTCu7u1A_21_13"/>
      <w:bookmarkStart w:id="437" w:name="Tc_qVoy6KYpi0CHmGtbGYl8-A_21_10"/>
      <w:bookmarkStart w:id="438" w:name="Tc_g2xEl4Zew0upO-Fr-LP0zg_21_7"/>
      <w:bookmarkStart w:id="439" w:name="Tc_RGzsWuzEn0a4GCHKtYSlUg_21_4"/>
      <w:bookmarkStart w:id="440" w:name="Tc_I9Rm3wLl8kG7KQ-C4URE-g_21_2"/>
      <w:bookmarkStart w:id="441" w:name="Tc_pzga4FOLMUSbDhxktNuU4Q_20_16"/>
      <w:bookmarkStart w:id="442" w:name="Tc_rGw-QXenqkq_deKSbGGLOA_20_13"/>
      <w:bookmarkStart w:id="443" w:name="Tc_4dObFb74rECrt2mOFEhDsQ_20_10"/>
      <w:bookmarkStart w:id="444" w:name="Tc_UjJgiTmeHk-Tf6iwG4CuCA_20_7"/>
      <w:bookmarkStart w:id="445" w:name="Tc_Dv2OsBPFVUiwzHZJPJ4kZw_20_2"/>
      <w:bookmarkStart w:id="446" w:name="Tc_eFzf8xBIbEWhKtCHYM5E6g_19_16"/>
      <w:bookmarkStart w:id="447" w:name="Tc_169DzwDHSkGC6w5dmfqvlA_19_13"/>
      <w:bookmarkStart w:id="448" w:name="Tc_Y-oulwoOSkiv40m3GAtEIg_19_7"/>
      <w:bookmarkStart w:id="449" w:name="Tc_-620L-Nslkq0QwQ9fFDVXQ_18_13"/>
      <w:bookmarkStart w:id="450" w:name="Tc_WtPp0nGNbkWEo8DF7l10cA_16_16"/>
      <w:bookmarkStart w:id="451" w:name="Tc_-YF7GrLKCkuWJWAMrc4yCg_16_13"/>
      <w:bookmarkStart w:id="452" w:name="Tc_r2zMzS6QNEOklix5uSYpvw_16_10"/>
      <w:bookmarkStart w:id="453" w:name="Tc_XaKqkxogsk-x0pCQm5hMfQ_16_7"/>
      <w:bookmarkStart w:id="454" w:name="Tc_S7m2IMQX1UaGiq0ADK1akA_16_4"/>
      <w:bookmarkStart w:id="455" w:name="Tc_0ew39etTUk20z0NdIUqEew_16_0"/>
      <w:bookmarkStart w:id="456" w:name="Tc_17CnpBKuA0qpj1rSWOJSOw_15_14"/>
      <w:bookmarkStart w:id="457" w:name="Tc_FOYBF-NJk0WAsdzJYHG6ZQ_15_8"/>
      <w:bookmarkStart w:id="458" w:name="Tc_HiU8HoKVUUKqwkyjhrfuIw_15_5"/>
      <w:bookmarkStart w:id="459" w:name="Tc_mSvwHZdHikSWATg8msuvBg_15_2"/>
      <w:bookmarkStart w:id="460" w:name="Tc_4Ozzwo_-t0ep37ZAPVXznQ_15_0"/>
      <w:bookmarkStart w:id="461" w:name="Tc_AUI6j6TDC0aUwRo_qzVDUg_14_14"/>
      <w:bookmarkStart w:id="462" w:name="Tc_JMvafQWQWku1SD0y77VJew_14_11"/>
      <w:bookmarkStart w:id="463" w:name="Tc_uVaA1fRB2kaDuHbvN33wTA_14_5"/>
      <w:bookmarkStart w:id="464" w:name="Tc_iH__3lNOskWs23EK8aa-zA_14_0"/>
      <w:bookmarkStart w:id="465" w:name="Tc_KedYrFpoAkacg2MvXKeRWg_13_14"/>
      <w:bookmarkStart w:id="466" w:name="Tc_ZA2Vge-TJUODDrKTDFQJYA_13_11"/>
      <w:bookmarkStart w:id="467" w:name="Tc_2Iadn9M99U2jdAXDqtAK8Q_13_8"/>
      <w:bookmarkStart w:id="468" w:name="Tc_c_C6TIndW0GFqkKd1aFHwQ_13_0"/>
      <w:bookmarkStart w:id="469" w:name="Tc_7iG1WAForkyQjDLrdqYIZQ_12_14"/>
      <w:bookmarkStart w:id="470" w:name="Tc_k-HD4NDYfUmxvqOesou1sw_12_11"/>
      <w:bookmarkStart w:id="471" w:name="Tc_4RLvI9_x00uMtnZzjHLtfg_12_5"/>
      <w:bookmarkStart w:id="472" w:name="Tc_eMYvxhLzLkGNqNqJShRxUw_12_2"/>
      <w:bookmarkStart w:id="473" w:name="Tc_dfiy1blSoECNOTFcZ8CL7A_12_0"/>
      <w:bookmarkStart w:id="474" w:name="Tc__owttw6HEk-UN2esFiuUrg_11_14"/>
      <w:bookmarkStart w:id="475" w:name="Tc_F8K0MdAT_0yw_43-DktqRA_11_11"/>
      <w:bookmarkStart w:id="476" w:name="Tc_Y0KwfoBWukSfOCNDBDzOTQ_11_5"/>
      <w:bookmarkStart w:id="477" w:name="Tc_xG_lAJ6xykWRES1l-O56mQ_11_2"/>
      <w:bookmarkStart w:id="478" w:name="Tc_rTnbDY4tfE61diiVdfXgLA_11_0"/>
      <w:bookmarkStart w:id="479" w:name="Tc_ItQqAO4fLUyYyCkDv0kYlg_10_16"/>
      <w:bookmarkStart w:id="480" w:name="Tc_285Mtzr7jkmCSbV-mSHGgQ_10_0"/>
      <w:bookmarkStart w:id="481" w:name="Tc_EEwIGN6cjUC2MDARs3sAuA_9_14"/>
      <w:bookmarkStart w:id="482" w:name="Tc_iMxfexlUfU-LNI8d36xU-g_9_8"/>
      <w:bookmarkStart w:id="483" w:name="Tc_7ST3wvoCckmDNBGBxdWCCw_9_5"/>
      <w:bookmarkStart w:id="484" w:name="Tc_Qipldb50cUmckAEqJGYJwg_9_2"/>
      <w:bookmarkStart w:id="485" w:name="Tc_JNR157UfWE2voI34gvqUkA_9_0"/>
      <w:bookmarkStart w:id="486" w:name="Tc_NM4N4oZVpk29re2myE2n0g_8_14"/>
      <w:bookmarkStart w:id="487" w:name="Tc_WXVJ7o48m0q5FWJE9UjEUg_8_11"/>
      <w:bookmarkStart w:id="488" w:name="Tc_-67iqWIEYUO7NEQ3lCPG2w_8_5"/>
      <w:bookmarkStart w:id="489" w:name="Tc_Bwyfiy8iKEWsC5_nmeCu-Q_8_0"/>
      <w:bookmarkStart w:id="490" w:name="Tc_4NPX_lZ_TkWMvqkcMzrJHQ_7_14"/>
      <w:bookmarkStart w:id="491" w:name="Tc_y6J-lnoIa02FHnSWQ_4Ydw_7_11"/>
      <w:bookmarkStart w:id="492" w:name="Tc_96tv6B5DmESGlCB6nbVALg_7_8"/>
      <w:bookmarkStart w:id="493" w:name="Tc_-fS1-mtd6UeenOuiF0M66g_7_0"/>
      <w:bookmarkStart w:id="494" w:name="Tc_oHFYUvqUDEmzb9lMZtM3dQ_6_0"/>
      <w:bookmarkStart w:id="495" w:name="Tc_BfeyBcjs30CMoE1ZGvzFKw_5_16"/>
      <w:bookmarkStart w:id="496" w:name="Tc_P8WbsO-f1kOVIb6zKn_CUg_5_13"/>
      <w:bookmarkStart w:id="497" w:name="Tc_1YYBUfs1z0ufS7PMdOntaw_5_10"/>
      <w:bookmarkStart w:id="498" w:name="Tc_PuDMkZNlVk-MlN-1OLOKmQ_5_7"/>
      <w:bookmarkStart w:id="499" w:name="Tc_hYOqTCEqGkG0aWurnvnN4A_5_4"/>
      <w:bookmarkStart w:id="500" w:name="Tc_zkN-vlbGf0q9QWt0yYjddg_5_0"/>
      <w:bookmarkStart w:id="501" w:name="Tc_0yGtphya5USDfuOnUGboOA_4_16"/>
      <w:bookmarkStart w:id="502" w:name="Tc_WIffapMC-Uqu-_rHj7r2qw_4_13"/>
      <w:bookmarkStart w:id="503" w:name="Tc_sn0GeLzJqEWzG48-ELNehw_4_10"/>
      <w:bookmarkStart w:id="504" w:name="Tc_nTFcMdoJk0eOBIshHvJdYA_4_7"/>
      <w:bookmarkStart w:id="505" w:name="Tc_AOHreIV2sUaOsMqrr8BqKA_4_4"/>
      <w:bookmarkStart w:id="506" w:name="Tc_6NNoYYnq-UaXFRyoiE7SGA_4_2"/>
      <w:bookmarkStart w:id="507" w:name="Tc_sygCFoRxMkmyy_P4Vx08ZA_3_16"/>
      <w:bookmarkStart w:id="508" w:name="Tc_j80fgqK_pUiThkk8FjTe3g_3_13"/>
      <w:bookmarkStart w:id="509" w:name="Tc_phVI0vZjS0KzGE8fdkljCw_3_10"/>
      <w:bookmarkStart w:id="510" w:name="Tc_RWMHkcqhr0Gel285cizOHQ_3_7"/>
      <w:bookmarkStart w:id="511" w:name="Tc_d9-D_Rtzr0KnM791bG7KaA_3_2"/>
      <w:bookmarkStart w:id="512" w:name="Tc_RXW5t2GG1UKJdY4uOoN65Q_2_16"/>
      <w:bookmarkStart w:id="513" w:name="Tc_uakU0i3W9kaef9LTFMGFBQ_2_13"/>
      <w:bookmarkStart w:id="514" w:name="Tc__C-sy6N7gkW64wKln7I-cQ_2_7"/>
      <w:bookmarkStart w:id="515" w:name="Tc_Jve5h4TXe0yznicqWMAKog_1_13"/>
      <w:bookmarkStart w:id="516" w:name="_85b6822f_e354_4bc6_a0a4_a903f0d4b622"/>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tbl>
      <w:tblPr>
        <w:tblW w:w="10205" w:type="dxa"/>
        <w:jc w:val="left"/>
        <w:tblInd w:w="0" w:type="dxa"/>
        <w:tblLayout w:type="fixed"/>
        <w:tblCellMar>
          <w:top w:w="0" w:type="dxa"/>
          <w:left w:w="0" w:type="dxa"/>
          <w:bottom w:w="0" w:type="dxa"/>
          <w:right w:w="0" w:type="dxa"/>
        </w:tblCellMar>
      </w:tblPr>
      <w:tblGrid>
        <w:gridCol w:w="2954"/>
        <w:gridCol w:w="226"/>
        <w:gridCol w:w="676"/>
        <w:gridCol w:w="286"/>
        <w:gridCol w:w="211"/>
        <w:gridCol w:w="781"/>
        <w:gridCol w:w="226"/>
        <w:gridCol w:w="211"/>
        <w:gridCol w:w="676"/>
        <w:gridCol w:w="226"/>
        <w:gridCol w:w="211"/>
        <w:gridCol w:w="884"/>
        <w:gridCol w:w="226"/>
        <w:gridCol w:w="295"/>
        <w:gridCol w:w="801"/>
        <w:gridCol w:w="226"/>
        <w:gridCol w:w="245"/>
        <w:gridCol w:w="844"/>
      </w:tblGrid>
      <w:tr>
        <w:trPr/>
        <w:tc>
          <w:tcPr>
            <w:tcW w:w="2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875790" cy="175260"/>
                      <wp:effectExtent l="0" t="0" r="0" b="0"/>
                      <wp:wrapNone/>
                      <wp:docPr id="24" name="Frame24"/>
                      <a:graphic xmlns:a="http://schemas.openxmlformats.org/drawingml/2006/main">
                        <a:graphicData uri="http://schemas.microsoft.com/office/word/2010/wordprocessingShape">
                          <wps:wsp>
                            <wps:cNvSpPr txBox="1"/>
                            <wps:spPr>
                              <a:xfrm>
                                <a:off x="0" y="0"/>
                                <a:ext cx="1875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43510" cy="175260"/>
                      <wp:effectExtent l="0" t="0" r="0" b="0"/>
                      <wp:wrapNone/>
                      <wp:docPr id="25" name="Frame2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29260" cy="175260"/>
                      <wp:effectExtent l="0" t="0" r="0" b="0"/>
                      <wp:wrapNone/>
                      <wp:docPr id="26" name="Frame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81610" cy="175260"/>
                      <wp:effectExtent l="0" t="0" r="0" b="0"/>
                      <wp:wrapNone/>
                      <wp:docPr id="27" name="Frame2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8"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95935" cy="175260"/>
                      <wp:effectExtent l="0" t="0" r="0" b="0"/>
                      <wp:wrapNone/>
                      <wp:docPr id="29" name="Frame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43510" cy="175260"/>
                      <wp:effectExtent l="0" t="0" r="0" b="0"/>
                      <wp:wrapNone/>
                      <wp:docPr id="30" name="Frame3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1"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29260" cy="175260"/>
                      <wp:effectExtent l="0" t="0" r="0" b="0"/>
                      <wp:wrapNone/>
                      <wp:docPr id="32" name="Frame3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43510" cy="175260"/>
                      <wp:effectExtent l="0" t="0" r="0" b="0"/>
                      <wp:wrapNone/>
                      <wp:docPr id="33" name="Frame3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4"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61340" cy="175260"/>
                      <wp:effectExtent l="0" t="0" r="0" b="0"/>
                      <wp:wrapNone/>
                      <wp:docPr id="35" name="Frame35"/>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43510" cy="175260"/>
                      <wp:effectExtent l="0" t="0" r="0" b="0"/>
                      <wp:wrapNone/>
                      <wp:docPr id="36" name="Frame3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87325" cy="175260"/>
                      <wp:effectExtent l="0" t="0" r="0" b="0"/>
                      <wp:wrapNone/>
                      <wp:docPr id="37" name="Frame37"/>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08635" cy="175260"/>
                      <wp:effectExtent l="0" t="0" r="0" b="0"/>
                      <wp:wrapNone/>
                      <wp:docPr id="38" name="Frame38"/>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43510" cy="175260"/>
                      <wp:effectExtent l="0" t="0" r="0" b="0"/>
                      <wp:wrapNone/>
                      <wp:docPr id="39" name="Frame3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55575" cy="175260"/>
                      <wp:effectExtent l="0" t="0" r="0" b="0"/>
                      <wp:wrapNone/>
                      <wp:docPr id="40" name="Frame40"/>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35940" cy="175260"/>
                      <wp:effectExtent l="0" t="0" r="0" b="0"/>
                      <wp:wrapNone/>
                      <wp:docPr id="41" name="Frame41"/>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54"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84"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226" w:type="dxa"/>
            <w:tcBorders/>
            <w:vAlign w:val="center"/>
          </w:tcPr>
          <w:p>
            <w:pPr>
              <w:pStyle w:val="TableContents"/>
              <w:bidi w:val="0"/>
              <w:spacing w:before="0" w:after="1"/>
              <w:ind w:left="0" w:right="0" w:hanging="0"/>
              <w:jc w:val="center"/>
              <w:rPr/>
            </w:pPr>
            <w:r>
              <w:rPr/>
              <w:t>​</w:t>
            </w:r>
          </w:p>
        </w:tc>
        <w:tc>
          <w:tcPr>
            <w:tcW w:w="245" w:type="dxa"/>
            <w:tcBorders/>
            <w:vAlign w:val="center"/>
          </w:tcPr>
          <w:p>
            <w:pPr>
              <w:pStyle w:val="TableContents"/>
              <w:bidi w:val="0"/>
              <w:spacing w:before="0" w:after="1"/>
              <w:ind w:left="0" w:right="0" w:hanging="0"/>
              <w:jc w:val="center"/>
              <w:rPr/>
            </w:pPr>
            <w:r>
              <w:rPr/>
              <w:t>​</w:t>
            </w:r>
          </w:p>
        </w:tc>
        <w:tc>
          <w:tcPr>
            <w:tcW w:w="844" w:type="dxa"/>
            <w:tcBorders/>
            <w:vAlign w:val="center"/>
          </w:tcPr>
          <w:p>
            <w:pPr>
              <w:pStyle w:val="TableContents"/>
              <w:bidi w:val="0"/>
              <w:spacing w:before="0" w:after="1"/>
              <w:ind w:left="0" w:right="0" w:hanging="0"/>
              <w:jc w:val="center"/>
              <w:rPr/>
            </w:pPr>
            <w:r>
              <w:rPr/>
              <w:t>​</w:t>
            </w:r>
          </w:p>
        </w:tc>
      </w:tr>
      <w:tr>
        <w:trPr/>
        <w:tc>
          <w:tcPr>
            <w:tcW w:w="2954"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2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84"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Other</w:t>
            </w:r>
          </w:p>
        </w:tc>
        <w:tc>
          <w:tcPr>
            <w:tcW w:w="226" w:type="dxa"/>
            <w:tcBorders/>
            <w:vAlign w:val="center"/>
          </w:tcPr>
          <w:p>
            <w:pPr>
              <w:pStyle w:val="TableContents"/>
              <w:bidi w:val="0"/>
              <w:spacing w:before="0" w:after="1"/>
              <w:ind w:left="0" w:right="0" w:hanging="0"/>
              <w:jc w:val="center"/>
              <w:rPr/>
            </w:pPr>
            <w:r>
              <w:rPr/>
              <w:t>​</w:t>
            </w:r>
          </w:p>
        </w:tc>
        <w:tc>
          <w:tcPr>
            <w:tcW w:w="1089"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2954"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195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2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226" w:type="dxa"/>
            <w:tcBorders/>
            <w:vAlign w:val="center"/>
          </w:tcPr>
          <w:p>
            <w:pPr>
              <w:pStyle w:val="TableContents"/>
              <w:bidi w:val="0"/>
              <w:spacing w:before="0" w:after="1"/>
              <w:ind w:left="0" w:right="0" w:hanging="0"/>
              <w:jc w:val="center"/>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226"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Comprehensive</w:t>
            </w:r>
          </w:p>
        </w:tc>
        <w:tc>
          <w:tcPr>
            <w:tcW w:w="226" w:type="dxa"/>
            <w:tcBorders/>
            <w:vAlign w:val="center"/>
          </w:tcPr>
          <w:p>
            <w:pPr>
              <w:pStyle w:val="TableContents"/>
              <w:bidi w:val="0"/>
              <w:spacing w:before="0" w:after="1"/>
              <w:ind w:left="0" w:right="0" w:hanging="0"/>
              <w:jc w:val="center"/>
              <w:rPr/>
            </w:pPr>
            <w:r>
              <w:rPr/>
              <w:t>​</w:t>
            </w:r>
          </w:p>
        </w:tc>
        <w:tc>
          <w:tcPr>
            <w:tcW w:w="1089"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2954"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28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2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226" w:type="dxa"/>
            <w:tcBorders/>
            <w:vAlign w:val="center"/>
          </w:tcPr>
          <w:p>
            <w:pPr>
              <w:pStyle w:val="TableContents"/>
              <w:bidi w:val="0"/>
              <w:spacing w:before="0" w:after="1"/>
              <w:ind w:left="0" w:right="0" w:hanging="0"/>
              <w:jc w:val="left"/>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Deficit</w:t>
            </w:r>
          </w:p>
        </w:tc>
        <w:tc>
          <w:tcPr>
            <w:tcW w:w="226" w:type="dxa"/>
            <w:tcBorders/>
            <w:vAlign w:val="center"/>
          </w:tcPr>
          <w:p>
            <w:pPr>
              <w:pStyle w:val="TableContents"/>
              <w:bidi w:val="0"/>
              <w:spacing w:before="0" w:after="1"/>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Income</w:t>
            </w:r>
          </w:p>
        </w:tc>
        <w:tc>
          <w:tcPr>
            <w:tcW w:w="226" w:type="dxa"/>
            <w:tcBorders/>
            <w:vAlign w:val="center"/>
          </w:tcPr>
          <w:p>
            <w:pPr>
              <w:pStyle w:val="TableContents"/>
              <w:bidi w:val="0"/>
              <w:spacing w:before="0" w:after="1"/>
              <w:ind w:left="0" w:right="0" w:hanging="0"/>
              <w:jc w:val="left"/>
              <w:rPr/>
            </w:pPr>
            <w:r>
              <w:rPr/>
              <w:t> </w:t>
            </w:r>
          </w:p>
        </w:tc>
        <w:tc>
          <w:tcPr>
            <w:tcW w:w="10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Equity (deficit)</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Balance at December 31, 2025</w:t>
            </w:r>
          </w:p>
        </w:tc>
        <w:tc>
          <w:tcPr>
            <w:tcW w:w="2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34,163</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189,906</w:t>
            </w:r>
          </w:p>
        </w:tc>
        <w:tc>
          <w:tcPr>
            <w:tcW w:w="2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73,745</w:t>
            </w:r>
          </w:p>
        </w:tc>
        <w:tc>
          <w:tcPr>
            <w:tcW w:w="2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84"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(229,422)</w:t>
            </w:r>
          </w:p>
        </w:tc>
        <w:tc>
          <w:tcPr>
            <w:tcW w:w="226" w:type="dxa"/>
            <w:tcBorders/>
            <w:shd w:fill="CCEEFF" w:val="clear"/>
            <w:vAlign w:val="center"/>
          </w:tcPr>
          <w:p>
            <w:pPr>
              <w:pStyle w:val="TableContents"/>
              <w:bidi w:val="0"/>
              <w:spacing w:before="0" w:after="1"/>
              <w:ind w:left="0" w:right="0" w:hanging="0"/>
              <w:jc w:val="left"/>
              <w:rPr/>
            </w:pPr>
            <w:r>
              <w:rPr/>
              <w:t>  ​</w:t>
            </w:r>
          </w:p>
        </w:tc>
        <w:tc>
          <w:tcPr>
            <w:tcW w:w="295"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1,243</w:t>
            </w:r>
          </w:p>
        </w:tc>
        <w:tc>
          <w:tcPr>
            <w:tcW w:w="226" w:type="dxa"/>
            <w:tcBorders/>
            <w:shd w:fill="CCEEFF" w:val="clear"/>
            <w:vAlign w:val="center"/>
          </w:tcPr>
          <w:p>
            <w:pPr>
              <w:pStyle w:val="TableContents"/>
              <w:bidi w:val="0"/>
              <w:spacing w:before="0" w:after="1"/>
              <w:ind w:left="0" w:right="0" w:hanging="0"/>
              <w:jc w:val="left"/>
              <w:rPr/>
            </w:pPr>
            <w:r>
              <w:rPr/>
              <w:t>  ​</w:t>
            </w:r>
          </w:p>
        </w:tc>
        <w:tc>
          <w:tcPr>
            <w:tcW w:w="245"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44"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35,472</w:t>
            </w:r>
          </w:p>
        </w:tc>
      </w:tr>
      <w:tr>
        <w:trPr/>
        <w:tc>
          <w:tcPr>
            <w:tcW w:w="295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Equity-based compensation </w:t>
            </w:r>
          </w:p>
        </w:tc>
        <w:tc>
          <w:tcPr>
            <w:tcW w:w="2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990</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4"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 </w:t>
            </w:r>
          </w:p>
        </w:tc>
        <w:tc>
          <w:tcPr>
            <w:tcW w:w="80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 </w:t>
            </w:r>
          </w:p>
        </w:tc>
        <w:tc>
          <w:tcPr>
            <w:tcW w:w="844"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990</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Stock option exercise</w:t>
            </w:r>
          </w:p>
        </w:tc>
        <w:tc>
          <w:tcPr>
            <w:tcW w:w="2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264</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1,323</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4"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844"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1,323</w:t>
            </w:r>
          </w:p>
        </w:tc>
      </w:tr>
      <w:tr>
        <w:trPr/>
        <w:tc>
          <w:tcPr>
            <w:tcW w:w="295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Restricted and performance stock release</w:t>
            </w:r>
          </w:p>
        </w:tc>
        <w:tc>
          <w:tcPr>
            <w:tcW w:w="2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114</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(311)</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(311)</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22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201</w:t>
            </w:r>
          </w:p>
        </w:tc>
        <w:tc>
          <w:tcPr>
            <w:tcW w:w="226" w:type="dxa"/>
            <w:tcBorders/>
            <w:shd w:fill="CCEEFF" w:val="clear"/>
            <w:vAlign w:val="center"/>
          </w:tcPr>
          <w:p>
            <w:pPr>
              <w:pStyle w:val="TableContents"/>
              <w:bidi w:val="0"/>
              <w:spacing w:before="0" w:after="1"/>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201</w:t>
            </w:r>
          </w:p>
        </w:tc>
      </w:tr>
      <w:tr>
        <w:trPr/>
        <w:tc>
          <w:tcPr>
            <w:tcW w:w="2954"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Balance at March 31, 2026</w:t>
            </w:r>
          </w:p>
        </w:tc>
        <w:tc>
          <w:tcPr>
            <w:tcW w:w="2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34,541</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191,229</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74,424</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(229,221)</w:t>
            </w:r>
          </w:p>
        </w:tc>
        <w:tc>
          <w:tcPr>
            <w:tcW w:w="2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1,243</w:t>
            </w:r>
          </w:p>
        </w:tc>
        <w:tc>
          <w:tcPr>
            <w:tcW w:w="2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844"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37,675</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Equity-based compensation </w:t>
            </w:r>
          </w:p>
        </w:tc>
        <w:tc>
          <w:tcPr>
            <w:tcW w:w="2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1,710</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4"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844"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1,710</w:t>
            </w:r>
          </w:p>
        </w:tc>
      </w:tr>
      <w:tr>
        <w:trPr/>
        <w:tc>
          <w:tcPr>
            <w:tcW w:w="295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Employee stock purchase plan</w:t>
            </w:r>
          </w:p>
        </w:tc>
        <w:tc>
          <w:tcPr>
            <w:tcW w:w="2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64</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64</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Stock option exercise</w:t>
            </w:r>
          </w:p>
        </w:tc>
        <w:tc>
          <w:tcPr>
            <w:tcW w:w="2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319</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1,961</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4"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844"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1,961</w:t>
            </w:r>
          </w:p>
        </w:tc>
      </w:tr>
      <w:tr>
        <w:trPr/>
        <w:tc>
          <w:tcPr>
            <w:tcW w:w="295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Restricted and performance stock release</w:t>
            </w:r>
          </w:p>
        </w:tc>
        <w:tc>
          <w:tcPr>
            <w:tcW w:w="2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174</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(941)</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(941)</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226"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1,973</w:t>
            </w:r>
          </w:p>
        </w:tc>
        <w:tc>
          <w:tcPr>
            <w:tcW w:w="226" w:type="dxa"/>
            <w:tcBorders/>
            <w:shd w:fill="CCEEFF" w:val="clear"/>
            <w:vAlign w:val="center"/>
          </w:tcPr>
          <w:p>
            <w:pPr>
              <w:pStyle w:val="TableContents"/>
              <w:bidi w:val="0"/>
              <w:spacing w:before="0" w:after="1"/>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1,973</w:t>
            </w:r>
          </w:p>
        </w:tc>
      </w:tr>
      <w:tr>
        <w:trPr/>
        <w:tc>
          <w:tcPr>
            <w:tcW w:w="2954"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Balance at June 30, 2026</w:t>
            </w:r>
          </w:p>
        </w:tc>
        <w:tc>
          <w:tcPr>
            <w:tcW w:w="226" w:type="dxa"/>
            <w:tcBorders/>
            <w:vAlign w:val="center"/>
          </w:tcPr>
          <w:p>
            <w:pPr>
              <w:pStyle w:val="TableContents"/>
              <w:bidi w:val="0"/>
              <w:spacing w:before="0" w:after="1"/>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35,034</w:t>
            </w:r>
          </w:p>
        </w:tc>
        <w:tc>
          <w:tcPr>
            <w:tcW w:w="28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193,190</w:t>
            </w:r>
          </w:p>
        </w:tc>
        <w:tc>
          <w:tcPr>
            <w:tcW w:w="2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75,257</w:t>
            </w:r>
          </w:p>
        </w:tc>
        <w:tc>
          <w:tcPr>
            <w:tcW w:w="2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(227,248)</w:t>
            </w:r>
          </w:p>
        </w:tc>
        <w:tc>
          <w:tcPr>
            <w:tcW w:w="226" w:type="dxa"/>
            <w:tcBorders/>
            <w:vAlign w:val="center"/>
          </w:tcPr>
          <w:p>
            <w:pPr>
              <w:pStyle w:val="TableContents"/>
              <w:bidi w:val="0"/>
              <w:spacing w:before="0" w:after="1"/>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1,243</w:t>
            </w:r>
          </w:p>
        </w:tc>
        <w:tc>
          <w:tcPr>
            <w:tcW w:w="226" w:type="dxa"/>
            <w:tcBorders/>
            <w:vAlign w:val="center"/>
          </w:tcPr>
          <w:p>
            <w:pPr>
              <w:pStyle w:val="TableContents"/>
              <w:bidi w:val="0"/>
              <w:spacing w:before="0" w:after="1"/>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42,442</w:t>
            </w:r>
          </w:p>
        </w:tc>
      </w:tr>
      <w:tr>
        <w:trPr/>
        <w:tc>
          <w:tcPr>
            <w:tcW w:w="2954"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right"/>
              <w:rPr/>
            </w:pPr>
            <w:r>
              <w:rPr/>
              <w:t>​</w:t>
            </w:r>
          </w:p>
        </w:tc>
      </w:tr>
      <w:tr>
        <w:trPr/>
        <w:tc>
          <w:tcPr>
            <w:tcW w:w="2954"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84"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226" w:type="dxa"/>
            <w:tcBorders/>
            <w:vAlign w:val="center"/>
          </w:tcPr>
          <w:p>
            <w:pPr>
              <w:pStyle w:val="TableContents"/>
              <w:bidi w:val="0"/>
              <w:spacing w:before="0" w:after="1"/>
              <w:ind w:left="0" w:right="0" w:hanging="0"/>
              <w:jc w:val="center"/>
              <w:rPr/>
            </w:pPr>
            <w:r>
              <w:rPr/>
              <w:t>​</w:t>
            </w:r>
          </w:p>
        </w:tc>
        <w:tc>
          <w:tcPr>
            <w:tcW w:w="245" w:type="dxa"/>
            <w:tcBorders/>
            <w:vAlign w:val="center"/>
          </w:tcPr>
          <w:p>
            <w:pPr>
              <w:pStyle w:val="TableContents"/>
              <w:bidi w:val="0"/>
              <w:spacing w:before="0" w:after="1"/>
              <w:ind w:left="0" w:right="0" w:hanging="0"/>
              <w:jc w:val="center"/>
              <w:rPr/>
            </w:pPr>
            <w:r>
              <w:rPr/>
              <w:t>​</w:t>
            </w:r>
          </w:p>
        </w:tc>
        <w:tc>
          <w:tcPr>
            <w:tcW w:w="844" w:type="dxa"/>
            <w:tcBorders/>
            <w:vAlign w:val="center"/>
          </w:tcPr>
          <w:p>
            <w:pPr>
              <w:pStyle w:val="TableContents"/>
              <w:bidi w:val="0"/>
              <w:spacing w:before="0" w:after="1"/>
              <w:ind w:left="0" w:right="0" w:hanging="0"/>
              <w:jc w:val="center"/>
              <w:rPr/>
            </w:pPr>
            <w:r>
              <w:rPr/>
              <w:t>​</w:t>
            </w:r>
          </w:p>
        </w:tc>
      </w:tr>
      <w:tr>
        <w:trPr/>
        <w:tc>
          <w:tcPr>
            <w:tcW w:w="2954"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2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84"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Other</w:t>
            </w:r>
          </w:p>
        </w:tc>
        <w:tc>
          <w:tcPr>
            <w:tcW w:w="226" w:type="dxa"/>
            <w:tcBorders/>
            <w:vAlign w:val="center"/>
          </w:tcPr>
          <w:p>
            <w:pPr>
              <w:pStyle w:val="TableContents"/>
              <w:bidi w:val="0"/>
              <w:spacing w:before="0" w:after="1"/>
              <w:ind w:left="0" w:right="0" w:hanging="0"/>
              <w:jc w:val="center"/>
              <w:rPr/>
            </w:pPr>
            <w:r>
              <w:rPr/>
              <w:t>​</w:t>
            </w:r>
          </w:p>
        </w:tc>
        <w:tc>
          <w:tcPr>
            <w:tcW w:w="1089"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2954"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95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2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226" w:type="dxa"/>
            <w:tcBorders/>
            <w:vAlign w:val="center"/>
          </w:tcPr>
          <w:p>
            <w:pPr>
              <w:pStyle w:val="TableContents"/>
              <w:bidi w:val="0"/>
              <w:spacing w:before="0" w:after="1"/>
              <w:ind w:left="0" w:right="0" w:hanging="0"/>
              <w:jc w:val="center"/>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226"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Comprehensive</w:t>
            </w:r>
          </w:p>
        </w:tc>
        <w:tc>
          <w:tcPr>
            <w:tcW w:w="226" w:type="dxa"/>
            <w:tcBorders/>
            <w:vAlign w:val="center"/>
          </w:tcPr>
          <w:p>
            <w:pPr>
              <w:pStyle w:val="TableContents"/>
              <w:bidi w:val="0"/>
              <w:spacing w:before="0" w:after="1"/>
              <w:ind w:left="0" w:right="0" w:hanging="0"/>
              <w:jc w:val="center"/>
              <w:rPr/>
            </w:pPr>
            <w:r>
              <w:rPr/>
              <w:t>​</w:t>
            </w:r>
          </w:p>
        </w:tc>
        <w:tc>
          <w:tcPr>
            <w:tcW w:w="1089"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2954"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286" w:type="dxa"/>
            <w:tcBorders/>
            <w:vAlign w:val="center"/>
          </w:tcPr>
          <w:p>
            <w:pPr>
              <w:pStyle w:val="TableContents"/>
              <w:bidi w:val="0"/>
              <w:spacing w:before="0" w:after="1"/>
              <w:ind w:left="0" w:right="0" w:hanging="0"/>
              <w:jc w:val="left"/>
              <w:rPr/>
            </w:pPr>
            <w:r>
              <w:rPr/>
              <w:t>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2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226" w:type="dxa"/>
            <w:tcBorders/>
            <w:vAlign w:val="center"/>
          </w:tcPr>
          <w:p>
            <w:pPr>
              <w:pStyle w:val="TableContents"/>
              <w:bidi w:val="0"/>
              <w:spacing w:before="0" w:after="1"/>
              <w:ind w:left="0" w:right="0" w:hanging="0"/>
              <w:jc w:val="left"/>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Deficit</w:t>
            </w:r>
          </w:p>
        </w:tc>
        <w:tc>
          <w:tcPr>
            <w:tcW w:w="226" w:type="dxa"/>
            <w:tcBorders/>
            <w:vAlign w:val="center"/>
          </w:tcPr>
          <w:p>
            <w:pPr>
              <w:pStyle w:val="TableContents"/>
              <w:bidi w:val="0"/>
              <w:spacing w:before="0" w:after="1"/>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Income</w:t>
            </w:r>
          </w:p>
        </w:tc>
        <w:tc>
          <w:tcPr>
            <w:tcW w:w="226" w:type="dxa"/>
            <w:tcBorders/>
            <w:vAlign w:val="center"/>
          </w:tcPr>
          <w:p>
            <w:pPr>
              <w:pStyle w:val="TableContents"/>
              <w:bidi w:val="0"/>
              <w:spacing w:before="0" w:after="1"/>
              <w:ind w:left="0" w:right="0" w:hanging="0"/>
              <w:jc w:val="left"/>
              <w:rPr/>
            </w:pPr>
            <w:r>
              <w:rPr/>
              <w:t> </w:t>
            </w:r>
          </w:p>
        </w:tc>
        <w:tc>
          <w:tcPr>
            <w:tcW w:w="10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(Deficit)</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Balance at December 31, 2024</w:t>
            </w:r>
          </w:p>
        </w:tc>
        <w:tc>
          <w:tcPr>
            <w:tcW w:w="2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27,527</w:t>
            </w:r>
          </w:p>
        </w:tc>
        <w:tc>
          <w:tcPr>
            <w:tcW w:w="28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145,608</w:t>
            </w:r>
          </w:p>
        </w:tc>
        <w:tc>
          <w:tcPr>
            <w:tcW w:w="2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66,958</w:t>
            </w:r>
          </w:p>
        </w:tc>
        <w:tc>
          <w:tcPr>
            <w:tcW w:w="2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84"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(219,681)</w:t>
            </w:r>
          </w:p>
        </w:tc>
        <w:tc>
          <w:tcPr>
            <w:tcW w:w="226" w:type="dxa"/>
            <w:tcBorders/>
            <w:shd w:fill="CCEEFF" w:val="clear"/>
            <w:vAlign w:val="center"/>
          </w:tcPr>
          <w:p>
            <w:pPr>
              <w:pStyle w:val="TableContents"/>
              <w:bidi w:val="0"/>
              <w:spacing w:before="0" w:after="1"/>
              <w:ind w:left="0" w:right="0" w:hanging="0"/>
              <w:jc w:val="left"/>
              <w:rPr/>
            </w:pPr>
            <w:r>
              <w:rPr/>
              <w:t>  ​</w:t>
            </w:r>
          </w:p>
        </w:tc>
        <w:tc>
          <w:tcPr>
            <w:tcW w:w="295"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1,243</w:t>
            </w:r>
          </w:p>
        </w:tc>
        <w:tc>
          <w:tcPr>
            <w:tcW w:w="226" w:type="dxa"/>
            <w:tcBorders/>
            <w:shd w:fill="CCEEFF" w:val="clear"/>
            <w:vAlign w:val="center"/>
          </w:tcPr>
          <w:p>
            <w:pPr>
              <w:pStyle w:val="TableContents"/>
              <w:bidi w:val="0"/>
              <w:spacing w:before="0" w:after="1"/>
              <w:ind w:left="0" w:right="0" w:hanging="0"/>
              <w:jc w:val="left"/>
              <w:rPr/>
            </w:pPr>
            <w:r>
              <w:rPr/>
              <w:t>  ​</w:t>
            </w:r>
          </w:p>
        </w:tc>
        <w:tc>
          <w:tcPr>
            <w:tcW w:w="245"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44"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(5,872)</w:t>
            </w:r>
          </w:p>
        </w:tc>
      </w:tr>
      <w:tr>
        <w:trPr/>
        <w:tc>
          <w:tcPr>
            <w:tcW w:w="295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Equity-based compensation </w:t>
            </w:r>
          </w:p>
        </w:tc>
        <w:tc>
          <w:tcPr>
            <w:tcW w:w="2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798</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4"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 </w:t>
            </w:r>
          </w:p>
        </w:tc>
        <w:tc>
          <w:tcPr>
            <w:tcW w:w="80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798</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Stock option exercise</w:t>
            </w:r>
          </w:p>
        </w:tc>
        <w:tc>
          <w:tcPr>
            <w:tcW w:w="2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55</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371</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4"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844"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371</w:t>
            </w:r>
          </w:p>
        </w:tc>
      </w:tr>
      <w:tr>
        <w:trPr/>
        <w:tc>
          <w:tcPr>
            <w:tcW w:w="295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Restricted stock release</w:t>
            </w:r>
          </w:p>
        </w:tc>
        <w:tc>
          <w:tcPr>
            <w:tcW w:w="2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loss</w:t>
            </w:r>
          </w:p>
        </w:tc>
        <w:tc>
          <w:tcPr>
            <w:tcW w:w="226"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(1,165)</w:t>
            </w:r>
          </w:p>
        </w:tc>
        <w:tc>
          <w:tcPr>
            <w:tcW w:w="226" w:type="dxa"/>
            <w:tcBorders/>
            <w:shd w:fill="CCEEFF" w:val="clear"/>
            <w:vAlign w:val="center"/>
          </w:tcPr>
          <w:p>
            <w:pPr>
              <w:pStyle w:val="TableContents"/>
              <w:bidi w:val="0"/>
              <w:spacing w:before="0" w:after="1"/>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(1,165)</w:t>
            </w:r>
          </w:p>
        </w:tc>
      </w:tr>
      <w:tr>
        <w:trPr/>
        <w:tc>
          <w:tcPr>
            <w:tcW w:w="2954"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Balance at March 31, 2025</w:t>
            </w:r>
          </w:p>
        </w:tc>
        <w:tc>
          <w:tcPr>
            <w:tcW w:w="2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27,594</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145,979</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67,744</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(220,846)</w:t>
            </w:r>
          </w:p>
        </w:tc>
        <w:tc>
          <w:tcPr>
            <w:tcW w:w="2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1,243</w:t>
            </w:r>
          </w:p>
        </w:tc>
        <w:tc>
          <w:tcPr>
            <w:tcW w:w="2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(5,880)</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Equity-based compensation </w:t>
            </w:r>
          </w:p>
        </w:tc>
        <w:tc>
          <w:tcPr>
            <w:tcW w:w="2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1,494</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4"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844"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1,494</w:t>
            </w:r>
          </w:p>
        </w:tc>
      </w:tr>
      <w:tr>
        <w:trPr/>
        <w:tc>
          <w:tcPr>
            <w:tcW w:w="295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Stock option exercise</w:t>
            </w:r>
          </w:p>
        </w:tc>
        <w:tc>
          <w:tcPr>
            <w:tcW w:w="2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52</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186</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186</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Restricted stock release</w:t>
            </w:r>
          </w:p>
        </w:tc>
        <w:tc>
          <w:tcPr>
            <w:tcW w:w="2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87</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(111)</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4"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844"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(111)</w:t>
            </w:r>
          </w:p>
        </w:tc>
      </w:tr>
      <w:tr>
        <w:trPr/>
        <w:tc>
          <w:tcPr>
            <w:tcW w:w="295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loss</w:t>
            </w:r>
          </w:p>
        </w:tc>
        <w:tc>
          <w:tcPr>
            <w:tcW w:w="22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(3,152)</w:t>
            </w:r>
          </w:p>
        </w:tc>
        <w:tc>
          <w:tcPr>
            <w:tcW w:w="226" w:type="dxa"/>
            <w:tcBorders/>
            <w:vAlign w:val="center"/>
          </w:tcPr>
          <w:p>
            <w:pPr>
              <w:pStyle w:val="TableContents"/>
              <w:bidi w:val="0"/>
              <w:spacing w:before="0" w:after="1"/>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(3,152)</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Balance at June 30, 2025</w:t>
            </w:r>
          </w:p>
        </w:tc>
        <w:tc>
          <w:tcPr>
            <w:tcW w:w="226" w:type="dxa"/>
            <w:tcBorders/>
            <w:shd w:fill="CCEEFF" w:val="clear"/>
            <w:vAlign w:val="center"/>
          </w:tcPr>
          <w:p>
            <w:pPr>
              <w:pStyle w:val="TableContents"/>
              <w:bidi w:val="0"/>
              <w:spacing w:before="0" w:after="1"/>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27,733</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146,165</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69,127</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(223,998)</w:t>
            </w:r>
          </w:p>
        </w:tc>
        <w:tc>
          <w:tcPr>
            <w:tcW w:w="226" w:type="dxa"/>
            <w:tcBorders/>
            <w:shd w:fill="CCEEFF" w:val="clear"/>
            <w:vAlign w:val="center"/>
          </w:tcPr>
          <w:p>
            <w:pPr>
              <w:pStyle w:val="TableContents"/>
              <w:bidi w:val="0"/>
              <w:spacing w:before="0" w:after="1"/>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1,243</w:t>
            </w:r>
          </w:p>
        </w:tc>
        <w:tc>
          <w:tcPr>
            <w:tcW w:w="226" w:type="dxa"/>
            <w:tcBorders/>
            <w:shd w:fill="CCEEFF" w:val="clear"/>
            <w:vAlign w:val="center"/>
          </w:tcPr>
          <w:p>
            <w:pPr>
              <w:pStyle w:val="TableContents"/>
              <w:bidi w:val="0"/>
              <w:spacing w:before="0" w:after="1"/>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4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(7,463)</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17" w:name="_3a2a60e8_13a3_4203_9257_a2bf9d1054e0"/>
      <w:bookmarkEnd w:id="517"/>
      <w:r>
        <w:rPr>
          <w:rFonts w:ascii="Times New Roman;Times;serif" w:hAnsi="Times New Roman;Times;serif"/>
          <w:b/>
          <w:sz w:val="20"/>
        </w:rPr>
        <w:t>Fennec Pharmaceuticals Inc.</w:t>
      </w:r>
    </w:p>
    <w:p>
      <w:pPr>
        <w:pStyle w:val="TextBody"/>
        <w:bidi w:val="0"/>
        <w:spacing w:before="0" w:after="0"/>
        <w:ind w:left="0" w:right="0" w:hanging="0"/>
        <w:jc w:val="center"/>
        <w:rPr>
          <w:rFonts w:ascii="Times New Roman;Times;serif" w:hAnsi="Times New Roman;Times;serif"/>
          <w:b/>
          <w:sz w:val="20"/>
        </w:rPr>
      </w:pPr>
      <w:bookmarkStart w:id="518" w:name="CondensedConsolidatedStatementsofCashFlo"/>
      <w:bookmarkEnd w:id="518"/>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19" w:name="Tc_iymwjJ3x3kK-aKDFpJkXFQ_32_5"/>
      <w:bookmarkStart w:id="520" w:name="Tc_0ngEjau3nEaDwt154rKWvw_32_2"/>
      <w:bookmarkStart w:id="521" w:name="Tc_LWOOynvSek6NwVZWND-Ziw_32_0"/>
      <w:bookmarkStart w:id="522" w:name="Tc_0W2PmLbzkkCokp5cSkDOWA_31_0"/>
      <w:bookmarkStart w:id="523" w:name="Tc_MoaPiHiEyUKuVIBUL_NL2w_30_0"/>
      <w:bookmarkStart w:id="524" w:name="Tc_WRuqtmNF0ESKkzrE6FqWgQ_28_0"/>
      <w:bookmarkStart w:id="525" w:name="Tc_6z3cfVlFakK9cZqTyJDo5Q_27_0"/>
      <w:bookmarkStart w:id="526" w:name="Tc_6F1VzXAMYEOUfbfo1oeVIg_26_0"/>
      <w:bookmarkStart w:id="527" w:name="Tc_9yksM_-os0K8BWJJZWKpCg_25_0"/>
      <w:bookmarkStart w:id="528" w:name="Tc_fqjR0AKbsUWF-z94aHCuYg_23_0"/>
      <w:bookmarkStart w:id="529" w:name="Tc_30ehSQnLDkWI17pLKf0RIQ_22_6"/>
      <w:bookmarkStart w:id="530" w:name="Tc_gT4TDo1NF0SUec33QauhLw_22_0"/>
      <w:bookmarkStart w:id="531" w:name="Tc_X_YSmju_q06uKdOWeFlFEA_21_0"/>
      <w:bookmarkStart w:id="532" w:name="Tc_zxWjP6I6K0exZcf_ij2f-g_20_0"/>
      <w:bookmarkStart w:id="533" w:name="Tc_0HchhtjtSESmZoEXcBknRA_19_6"/>
      <w:bookmarkStart w:id="534" w:name="Tc_zYxbU1nKy02hSnagWK5x3Q_19_0"/>
      <w:bookmarkStart w:id="535" w:name="Tc_pz4v567ahE-ZMyz6FOlb4A_18_0"/>
      <w:bookmarkStart w:id="536" w:name="Tc_ME2P6AVW10iMlnrc_zDToQ_17_0"/>
      <w:bookmarkStart w:id="537" w:name="Tc_d5YU7l7pV0OFCdvLMSrGwg_16_0"/>
      <w:bookmarkStart w:id="538" w:name="Tc_oJOQ4L2y1k2e2RC3myZzeA_15_0"/>
      <w:bookmarkStart w:id="539" w:name="Tc_tgGtLTt0-U2AI6GkxxSZBQ_14_0"/>
      <w:bookmarkStart w:id="540" w:name="Tc_OdzUJniquU6ptSmNcXObIQ_13_0"/>
      <w:bookmarkStart w:id="541" w:name="Tc_bCExXHyvwUuLLbj2kQGkug_12_3"/>
      <w:bookmarkStart w:id="542" w:name="Tc_ztJ6RaSKK0afR1hXox-Ojw_12_0"/>
      <w:bookmarkStart w:id="543" w:name="Tc_z9-Hc2bcoEq-560gVkLQig_11_3"/>
      <w:bookmarkStart w:id="544" w:name="Tc_-tDGnZKOvEWn6iKsLj7IBg_11_0"/>
      <w:bookmarkStart w:id="545" w:name="Tc_xyjcd2is0EGBGjXWnzj2ug_10_0"/>
      <w:bookmarkStart w:id="546" w:name="Tc_NB_lxGVB1kyHvSRvK4I4OA_9_0"/>
      <w:bookmarkStart w:id="547" w:name="Tc_ZwTgFRsmz0Km4ouR-yjEZg_8_0"/>
      <w:bookmarkStart w:id="548" w:name="Tc_jOK8nPTvLUy_M_kCInRWWQ_7_5"/>
      <w:bookmarkStart w:id="549" w:name="Tc_RQsCqAtc1USC848v21Ws3A_7_2"/>
      <w:bookmarkStart w:id="550" w:name="Tc_niyIJFgYS06te9oqxGFlRQ_7_0"/>
      <w:bookmarkStart w:id="551" w:name="Tc_ChNNnB151EKl-uFiAgOrfg_6_0"/>
      <w:bookmarkStart w:id="552" w:name="Tc_o-sD4CqQKkOR5sIRjQNBpA_5_0"/>
      <w:bookmarkStart w:id="553" w:name="Tc_BSaw5J63O0GfdOejfcpj1w_3_5"/>
      <w:bookmarkStart w:id="554" w:name="Tc_YyPdmEd4f0G7ESd1unfYxw_3_2"/>
      <w:bookmarkStart w:id="555" w:name="Tc_U0LKCgYfIUWUY2MxeXWhSA_2_5"/>
      <w:bookmarkStart w:id="556" w:name="Tc_73I_ilPx3UO4-y3nYAq-SA_2_2"/>
      <w:bookmarkStart w:id="557" w:name="Tc_dXbiqbJYLE2U14mZonEMgA_1_2"/>
      <w:bookmarkStart w:id="558" w:name="_630512f4_1165_42da_8da6_ea9a169c676e"/>
      <w:bookmarkStart w:id="559" w:name="Tc_iymwjJ3x3kK-aKDFpJkXFQ_32_5"/>
      <w:bookmarkStart w:id="560" w:name="Tc_0ngEjau3nEaDwt154rKWvw_32_2"/>
      <w:bookmarkStart w:id="561" w:name="Tc_LWOOynvSek6NwVZWND-Ziw_32_0"/>
      <w:bookmarkStart w:id="562" w:name="Tc_0W2PmLbzkkCokp5cSkDOWA_31_0"/>
      <w:bookmarkStart w:id="563" w:name="Tc_MoaPiHiEyUKuVIBUL_NL2w_30_0"/>
      <w:bookmarkStart w:id="564" w:name="Tc_WRuqtmNF0ESKkzrE6FqWgQ_28_0"/>
      <w:bookmarkStart w:id="565" w:name="Tc_6z3cfVlFakK9cZqTyJDo5Q_27_0"/>
      <w:bookmarkStart w:id="566" w:name="Tc_6F1VzXAMYEOUfbfo1oeVIg_26_0"/>
      <w:bookmarkStart w:id="567" w:name="Tc_9yksM_-os0K8BWJJZWKpCg_25_0"/>
      <w:bookmarkStart w:id="568" w:name="Tc_fqjR0AKbsUWF-z94aHCuYg_23_0"/>
      <w:bookmarkStart w:id="569" w:name="Tc_30ehSQnLDkWI17pLKf0RIQ_22_6"/>
      <w:bookmarkStart w:id="570" w:name="Tc_gT4TDo1NF0SUec33QauhLw_22_0"/>
      <w:bookmarkStart w:id="571" w:name="Tc_X_YSmju_q06uKdOWeFlFEA_21_0"/>
      <w:bookmarkStart w:id="572" w:name="Tc_zxWjP6I6K0exZcf_ij2f-g_20_0"/>
      <w:bookmarkStart w:id="573" w:name="Tc_0HchhtjtSESmZoEXcBknRA_19_6"/>
      <w:bookmarkStart w:id="574" w:name="Tc_zYxbU1nKy02hSnagWK5x3Q_19_0"/>
      <w:bookmarkStart w:id="575" w:name="Tc_pz4v567ahE-ZMyz6FOlb4A_18_0"/>
      <w:bookmarkStart w:id="576" w:name="Tc_ME2P6AVW10iMlnrc_zDToQ_17_0"/>
      <w:bookmarkStart w:id="577" w:name="Tc_d5YU7l7pV0OFCdvLMSrGwg_16_0"/>
      <w:bookmarkStart w:id="578" w:name="Tc_oJOQ4L2y1k2e2RC3myZzeA_15_0"/>
      <w:bookmarkStart w:id="579" w:name="Tc_tgGtLTt0-U2AI6GkxxSZBQ_14_0"/>
      <w:bookmarkStart w:id="580" w:name="Tc_OdzUJniquU6ptSmNcXObIQ_13_0"/>
      <w:bookmarkStart w:id="581" w:name="Tc_bCExXHyvwUuLLbj2kQGkug_12_3"/>
      <w:bookmarkStart w:id="582" w:name="Tc_ztJ6RaSKK0afR1hXox-Ojw_12_0"/>
      <w:bookmarkStart w:id="583" w:name="Tc_z9-Hc2bcoEq-560gVkLQig_11_3"/>
      <w:bookmarkStart w:id="584" w:name="Tc_-tDGnZKOvEWn6iKsLj7IBg_11_0"/>
      <w:bookmarkStart w:id="585" w:name="Tc_xyjcd2is0EGBGjXWnzj2ug_10_0"/>
      <w:bookmarkStart w:id="586" w:name="Tc_NB_lxGVB1kyHvSRvK4I4OA_9_0"/>
      <w:bookmarkStart w:id="587" w:name="Tc_ZwTgFRsmz0Km4ouR-yjEZg_8_0"/>
      <w:bookmarkStart w:id="588" w:name="Tc_jOK8nPTvLUy_M_kCInRWWQ_7_5"/>
      <w:bookmarkStart w:id="589" w:name="Tc_RQsCqAtc1USC848v21Ws3A_7_2"/>
      <w:bookmarkStart w:id="590" w:name="Tc_niyIJFgYS06te9oqxGFlRQ_7_0"/>
      <w:bookmarkStart w:id="591" w:name="Tc_ChNNnB151EKl-uFiAgOrfg_6_0"/>
      <w:bookmarkStart w:id="592" w:name="Tc_o-sD4CqQKkOR5sIRjQNBpA_5_0"/>
      <w:bookmarkStart w:id="593" w:name="Tc_BSaw5J63O0GfdOejfcpj1w_3_5"/>
      <w:bookmarkStart w:id="594" w:name="Tc_YyPdmEd4f0G7ESd1unfYxw_3_2"/>
      <w:bookmarkStart w:id="595" w:name="Tc_U0LKCgYfIUWUY2MxeXWhSA_2_5"/>
      <w:bookmarkStart w:id="596" w:name="Tc_73I_ilPx3UO4-y3nYAq-SA_2_2"/>
      <w:bookmarkStart w:id="597" w:name="Tc_dXbiqbJYLE2U14mZonEMgA_1_2"/>
      <w:bookmarkStart w:id="598" w:name="_630512f4_1165_42da_8da6_ea9a169c676e"/>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p>
    <w:tbl>
      <w:tblPr>
        <w:tblW w:w="10205" w:type="dxa"/>
        <w:jc w:val="left"/>
        <w:tblInd w:w="0" w:type="dxa"/>
        <w:tblLayout w:type="fixed"/>
        <w:tblCellMar>
          <w:top w:w="0" w:type="dxa"/>
          <w:left w:w="0" w:type="dxa"/>
          <w:bottom w:w="0" w:type="dxa"/>
          <w:right w:w="0" w:type="dxa"/>
        </w:tblCellMar>
      </w:tblPr>
      <w:tblGrid>
        <w:gridCol w:w="7320"/>
        <w:gridCol w:w="346"/>
        <w:gridCol w:w="211"/>
        <w:gridCol w:w="689"/>
        <w:gridCol w:w="346"/>
        <w:gridCol w:w="211"/>
        <w:gridCol w:w="689"/>
        <w:gridCol w:w="393"/>
      </w:tblGrid>
      <w:tr>
        <w:trPr/>
        <w:tc>
          <w:tcPr>
            <w:tcW w:w="7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648200" cy="175260"/>
                      <wp:effectExtent l="0" t="0" r="0" b="0"/>
                      <wp:wrapNone/>
                      <wp:docPr id="42" name="Frame42"/>
                      <a:graphic xmlns:a="http://schemas.openxmlformats.org/drawingml/2006/main">
                        <a:graphicData uri="http://schemas.microsoft.com/office/word/2010/wordprocessingShape">
                          <wps:wsp>
                            <wps:cNvSpPr txBox="1"/>
                            <wps:spPr>
                              <a:xfrm>
                                <a:off x="0" y="0"/>
                                <a:ext cx="4648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44"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37515" cy="175260"/>
                      <wp:effectExtent l="0" t="0" r="0" b="0"/>
                      <wp:wrapNone/>
                      <wp:docPr id="45" name="Frame45"/>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3985" cy="175260"/>
                      <wp:effectExtent l="0" t="0" r="0" b="0"/>
                      <wp:wrapNone/>
                      <wp:docPr id="47"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37515" cy="175260"/>
                      <wp:effectExtent l="0" t="0" r="0" b="0"/>
                      <wp:wrapNone/>
                      <wp:docPr id="48" name="Frame48"/>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49555" cy="175260"/>
                      <wp:effectExtent l="0" t="0" r="0" b="0"/>
                      <wp:wrapNone/>
                      <wp:docPr id="49" name="Frame49"/>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2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4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93" w:type="dxa"/>
            <w:tcBorders/>
            <w:vAlign w:val="center"/>
          </w:tcPr>
          <w:p>
            <w:pPr>
              <w:pStyle w:val="TableContents"/>
              <w:bidi w:val="0"/>
              <w:spacing w:before="0" w:after="1"/>
              <w:ind w:left="0" w:right="0" w:hanging="0"/>
              <w:jc w:val="left"/>
              <w:rPr/>
            </w:pPr>
            <w:r>
              <w:rPr/>
              <w:t>​</w:t>
            </w:r>
          </w:p>
        </w:tc>
      </w:tr>
      <w:tr>
        <w:trPr/>
        <w:tc>
          <w:tcPr>
            <w:tcW w:w="732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93" w:type="dxa"/>
            <w:tcBorders/>
            <w:vAlign w:val="center"/>
          </w:tcPr>
          <w:p>
            <w:pPr>
              <w:pStyle w:val="TableContents"/>
              <w:bidi w:val="0"/>
              <w:spacing w:before="0" w:after="1"/>
              <w:ind w:left="0" w:right="0" w:hanging="0"/>
              <w:jc w:val="left"/>
              <w:rPr/>
            </w:pPr>
            <w:r>
              <w:rPr/>
              <w:t>​</w:t>
            </w:r>
          </w:p>
        </w:tc>
      </w:tr>
      <w:tr>
        <w:trPr/>
        <w:tc>
          <w:tcPr>
            <w:tcW w:w="732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3" w:type="dxa"/>
            <w:tcBorders/>
            <w:vAlign w:val="center"/>
          </w:tcPr>
          <w:p>
            <w:pPr>
              <w:pStyle w:val="TableContents"/>
              <w:bidi w:val="0"/>
              <w:spacing w:before="0" w:after="1"/>
              <w:ind w:left="0" w:right="0" w:hanging="0"/>
              <w:jc w:val="left"/>
              <w:rPr/>
            </w:pPr>
            <w:r>
              <w:rPr/>
              <w:t>  ​ ​ ​</w:t>
            </w:r>
          </w:p>
        </w:tc>
      </w:tr>
      <w:tr>
        <w:trPr/>
        <w:tc>
          <w:tcPr>
            <w:tcW w:w="732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732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provided by/(used in):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pPr>
            <w:r>
              <w:rPr/>
              <w:t>  ​</w:t>
            </w:r>
          </w:p>
        </w:tc>
        <w:tc>
          <w:tcPr>
            <w:tcW w:w="393" w:type="dxa"/>
            <w:tcBorders/>
            <w:shd w:fill="CCEEFF" w:val="clear"/>
            <w:vAlign w:val="center"/>
          </w:tcPr>
          <w:p>
            <w:pPr>
              <w:pStyle w:val="TableContents"/>
              <w:bidi w:val="0"/>
              <w:spacing w:before="0" w:after="1"/>
              <w:ind w:left="0" w:right="0" w:hanging="0"/>
              <w:jc w:val="left"/>
              <w:rPr/>
            </w:pPr>
            <w:r>
              <w:rPr/>
              <w:t> </w:t>
            </w:r>
          </w:p>
        </w:tc>
      </w:tr>
      <w:tr>
        <w:trPr/>
        <w:tc>
          <w:tcPr>
            <w:tcW w:w="732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pPr>
            <w:r>
              <w:rPr/>
              <w:t>  ​</w:t>
            </w:r>
          </w:p>
        </w:tc>
        <w:tc>
          <w:tcPr>
            <w:tcW w:w="393" w:type="dxa"/>
            <w:tcBorders/>
            <w:vAlign w:val="center"/>
          </w:tcPr>
          <w:p>
            <w:pPr>
              <w:pStyle w:val="TableContents"/>
              <w:bidi w:val="0"/>
              <w:spacing w:before="0" w:after="1"/>
              <w:ind w:left="0" w:right="0" w:hanging="0"/>
              <w:jc w:val="left"/>
              <w:rPr/>
            </w:pPr>
            <w:r>
              <w:rPr/>
              <w:t> </w:t>
            </w:r>
          </w:p>
        </w:tc>
      </w:tr>
      <w:tr>
        <w:trPr/>
        <w:tc>
          <w:tcPr>
            <w:tcW w:w="7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2,174</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(4,317)</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3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to reconcile net income/(loss) to net cash provided by/(used in) operating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689" w:type="dxa"/>
            <w:tcBorders/>
            <w:vAlign w:val="center"/>
          </w:tcPr>
          <w:p>
            <w:pPr>
              <w:pStyle w:val="TableContents"/>
              <w:bidi w:val="0"/>
              <w:spacing w:before="0" w:after="1"/>
              <w:ind w:left="0" w:right="0" w:hanging="0"/>
              <w:jc w:val="righ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7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1,222</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3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Norgine asset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93" w:type="dxa"/>
            <w:tcBorders/>
            <w:vAlign w:val="center"/>
          </w:tcPr>
          <w:p>
            <w:pPr>
              <w:pStyle w:val="TableContents"/>
              <w:bidi w:val="0"/>
              <w:spacing w:before="0" w:after="1"/>
              <w:ind w:left="0" w:right="0" w:hanging="0"/>
              <w:jc w:val="left"/>
              <w:rPr/>
            </w:pPr>
            <w:r>
              <w:rPr/>
              <w:t>​</w:t>
            </w:r>
          </w:p>
        </w:tc>
      </w:tr>
      <w:tr>
        <w:trPr/>
        <w:tc>
          <w:tcPr>
            <w:tcW w:w="7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debt discount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3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loss on securities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93" w:type="dxa"/>
            <w:tcBorders/>
            <w:vAlign w:val="center"/>
          </w:tcPr>
          <w:p>
            <w:pPr>
              <w:pStyle w:val="TableContents"/>
              <w:bidi w:val="0"/>
              <w:spacing w:before="0" w:after="1"/>
              <w:ind w:left="0" w:right="0" w:hanging="0"/>
              <w:jc w:val="left"/>
              <w:rPr/>
            </w:pPr>
            <w:r>
              <w:rPr/>
              <w:t>​</w:t>
            </w:r>
          </w:p>
        </w:tc>
      </w:tr>
      <w:tr>
        <w:trPr/>
        <w:tc>
          <w:tcPr>
            <w:tcW w:w="7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2,764</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2,292</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3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689" w:type="dxa"/>
            <w:tcBorders/>
            <w:vAlign w:val="center"/>
          </w:tcPr>
          <w:p>
            <w:pPr>
              <w:pStyle w:val="TableContents"/>
              <w:bidi w:val="0"/>
              <w:spacing w:before="0" w:after="1"/>
              <w:ind w:left="0" w:right="0" w:hanging="0"/>
              <w:jc w:val="righ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7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(5,542)</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3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(1,659)</w:t>
            </w:r>
          </w:p>
        </w:tc>
        <w:tc>
          <w:tcPr>
            <w:tcW w:w="393" w:type="dxa"/>
            <w:tcBorders/>
            <w:vAlign w:val="center"/>
          </w:tcPr>
          <w:p>
            <w:pPr>
              <w:pStyle w:val="TableContents"/>
              <w:bidi w:val="0"/>
              <w:spacing w:before="0" w:after="1"/>
              <w:ind w:left="0" w:right="0" w:hanging="0"/>
              <w:jc w:val="left"/>
              <w:rPr/>
            </w:pPr>
            <w:r>
              <w:rPr/>
              <w:t>​</w:t>
            </w:r>
          </w:p>
        </w:tc>
      </w:tr>
      <w:tr>
        <w:trPr/>
        <w:tc>
          <w:tcPr>
            <w:tcW w:w="7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(809)</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(1,141)</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3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w:t>
            </w:r>
          </w:p>
        </w:tc>
        <w:tc>
          <w:tcPr>
            <w:tcW w:w="393" w:type="dxa"/>
            <w:tcBorders/>
            <w:vAlign w:val="center"/>
          </w:tcPr>
          <w:p>
            <w:pPr>
              <w:pStyle w:val="TableContents"/>
              <w:bidi w:val="0"/>
              <w:spacing w:before="0" w:after="1"/>
              <w:ind w:left="0" w:right="0" w:hanging="0"/>
              <w:jc w:val="left"/>
              <w:rPr/>
            </w:pPr>
            <w:r>
              <w:rPr/>
              <w:t>​</w:t>
            </w:r>
          </w:p>
        </w:tc>
      </w:tr>
      <w:tr>
        <w:trPr/>
        <w:tc>
          <w:tcPr>
            <w:tcW w:w="7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689" w:type="dxa"/>
            <w:tcBorders/>
            <w:shd w:fill="CCEEFF" w:val="clear"/>
            <w:vAlign w:val="center"/>
          </w:tcPr>
          <w:p>
            <w:pPr>
              <w:pStyle w:val="TableContents"/>
              <w:bidi w:val="0"/>
              <w:spacing w:before="0" w:after="1"/>
              <w:ind w:left="0" w:right="0" w:hanging="0"/>
              <w:jc w:val="right"/>
              <w:rPr/>
            </w:pPr>
            <w:r>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3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881</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2,700</w:t>
            </w:r>
          </w:p>
        </w:tc>
        <w:tc>
          <w:tcPr>
            <w:tcW w:w="393" w:type="dxa"/>
            <w:tcBorders/>
            <w:vAlign w:val="center"/>
          </w:tcPr>
          <w:p>
            <w:pPr>
              <w:pStyle w:val="TableContents"/>
              <w:bidi w:val="0"/>
              <w:spacing w:before="0" w:after="1"/>
              <w:ind w:left="0" w:right="0" w:hanging="0"/>
              <w:jc w:val="left"/>
              <w:rPr/>
            </w:pPr>
            <w:r>
              <w:rPr/>
              <w:t>​</w:t>
            </w:r>
          </w:p>
        </w:tc>
      </w:tr>
      <w:tr>
        <w:trPr/>
        <w:tc>
          <w:tcPr>
            <w:tcW w:w="7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(1,939)</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(1,203)</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3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 liability</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7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2,429</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(8,004)</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32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689" w:type="dxa"/>
            <w:tcBorders/>
            <w:vAlign w:val="center"/>
          </w:tcPr>
          <w:p>
            <w:pPr>
              <w:pStyle w:val="TableContents"/>
              <w:bidi w:val="0"/>
              <w:spacing w:before="0" w:after="1"/>
              <w:ind w:left="0" w:right="0" w:hanging="0"/>
              <w:jc w:val="right"/>
              <w:rPr/>
            </w:pPr>
            <w:r>
              <w:rPr/>
              <w:t>  ​</w:t>
            </w:r>
          </w:p>
        </w:tc>
        <w:tc>
          <w:tcPr>
            <w:tcW w:w="393" w:type="dxa"/>
            <w:tcBorders/>
            <w:vAlign w:val="center"/>
          </w:tcPr>
          <w:p>
            <w:pPr>
              <w:pStyle w:val="TableContents"/>
              <w:bidi w:val="0"/>
              <w:spacing w:before="0" w:after="1"/>
              <w:ind w:left="0" w:right="0" w:hanging="0"/>
              <w:jc w:val="left"/>
              <w:rPr/>
            </w:pPr>
            <w:r>
              <w:rPr/>
              <w:t>​</w:t>
            </w:r>
          </w:p>
        </w:tc>
      </w:tr>
      <w:tr>
        <w:trPr/>
        <w:tc>
          <w:tcPr>
            <w:tcW w:w="732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689" w:type="dxa"/>
            <w:tcBorders/>
            <w:shd w:fill="CCEEFF" w:val="clear"/>
            <w:vAlign w:val="center"/>
          </w:tcPr>
          <w:p>
            <w:pPr>
              <w:pStyle w:val="TableContents"/>
              <w:bidi w:val="0"/>
              <w:spacing w:before="0" w:after="1"/>
              <w:ind w:left="0" w:right="0" w:hanging="0"/>
              <w:jc w:val="right"/>
              <w:rPr/>
            </w:pPr>
            <w:r>
              <w:rPr/>
              <w:t>  ​</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3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shares, options exercise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3,284</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w:t>
            </w:r>
          </w:p>
        </w:tc>
        <w:tc>
          <w:tcPr>
            <w:tcW w:w="393" w:type="dxa"/>
            <w:tcBorders/>
            <w:vAlign w:val="center"/>
          </w:tcPr>
          <w:p>
            <w:pPr>
              <w:pStyle w:val="TableContents"/>
              <w:bidi w:val="0"/>
              <w:spacing w:before="0" w:after="1"/>
              <w:ind w:left="0" w:right="0" w:hanging="0"/>
              <w:jc w:val="left"/>
              <w:rPr/>
            </w:pPr>
            <w:r>
              <w:rPr/>
              <w:t>​</w:t>
            </w:r>
          </w:p>
        </w:tc>
      </w:tr>
      <w:tr>
        <w:trPr/>
        <w:tc>
          <w:tcPr>
            <w:tcW w:w="7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taxes on restricted share release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(1,252)</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3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2,032</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93" w:type="dxa"/>
            <w:tcBorders/>
            <w:vAlign w:val="center"/>
          </w:tcPr>
          <w:p>
            <w:pPr>
              <w:pStyle w:val="TableContents"/>
              <w:bidi w:val="0"/>
              <w:spacing w:before="0" w:after="1"/>
              <w:ind w:left="0" w:right="0" w:hanging="0"/>
              <w:jc w:val="left"/>
              <w:rPr/>
            </w:pPr>
            <w:r>
              <w:rPr/>
              <w:t>​</w:t>
            </w:r>
          </w:p>
        </w:tc>
      </w:tr>
      <w:tr>
        <w:trPr/>
        <w:tc>
          <w:tcPr>
            <w:tcW w:w="732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689" w:type="dxa"/>
            <w:tcBorders/>
            <w:shd w:fill="CCEEFF" w:val="clear"/>
            <w:vAlign w:val="center"/>
          </w:tcPr>
          <w:p>
            <w:pPr>
              <w:pStyle w:val="TableContents"/>
              <w:bidi w:val="0"/>
              <w:spacing w:before="0" w:after="1"/>
              <w:ind w:left="0" w:right="0" w:hanging="0"/>
              <w:jc w:val="right"/>
              <w:rPr/>
            </w:pPr>
            <w:r>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3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Increase/(decrease) in cash and cash equivalents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4,461</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(7,929)</w:t>
            </w:r>
          </w:p>
        </w:tc>
        <w:tc>
          <w:tcPr>
            <w:tcW w:w="393" w:type="dxa"/>
            <w:tcBorders/>
            <w:vAlign w:val="center"/>
          </w:tcPr>
          <w:p>
            <w:pPr>
              <w:pStyle w:val="TableContents"/>
              <w:bidi w:val="0"/>
              <w:spacing w:before="0" w:after="1"/>
              <w:ind w:left="0" w:right="0" w:hanging="0"/>
              <w:jc w:val="left"/>
              <w:rPr/>
            </w:pPr>
            <w:r>
              <w:rPr/>
              <w:t>​</w:t>
            </w:r>
          </w:p>
        </w:tc>
      </w:tr>
      <w:tr>
        <w:trPr/>
        <w:tc>
          <w:tcPr>
            <w:tcW w:w="7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36,788</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26,634</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3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 End of period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41,249</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18,705</w:t>
            </w:r>
          </w:p>
        </w:tc>
        <w:tc>
          <w:tcPr>
            <w:tcW w:w="393"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599" w:name="Notes"/>
      <w:bookmarkStart w:id="600" w:name="_5a7d377a_114c_4b68_a97a_c67f749fe27b"/>
      <w:bookmarkEnd w:id="599"/>
      <w:bookmarkEnd w:id="600"/>
      <w:r>
        <w:rPr>
          <w:rFonts w:ascii="Times New Roman;Times;serif" w:hAnsi="Times New Roman;Times;serif"/>
          <w:b/>
          <w:sz w:val="20"/>
        </w:rPr>
        <w:t>Fennec Pharmaceuticals Inc.</w:t>
      </w:r>
    </w:p>
    <w:p>
      <w:pPr>
        <w:pStyle w:val="TextBody"/>
        <w:bidi w:val="0"/>
        <w:spacing w:before="0" w:after="0"/>
        <w:ind w:left="0" w:right="0" w:hanging="0"/>
        <w:jc w:val="left"/>
        <w:rPr>
          <w:rFonts w:ascii="Times New Roman;Times;serif" w:hAnsi="Times New Roman;Times;serif"/>
          <w:b/>
          <w:sz w:val="20"/>
        </w:rPr>
      </w:pPr>
      <w:bookmarkStart w:id="601" w:name="NotestotheConsolidatedFinancialStat"/>
      <w:bookmarkEnd w:id="601"/>
      <w:r>
        <w:rPr>
          <w:rFonts w:ascii="Times New Roman;Times;serif" w:hAnsi="Times New Roman;Times;serif"/>
          <w:b/>
          <w:sz w:val="20"/>
        </w:rPr>
        <w:t>Notes to the Unaudited Interim Condensed Consolidated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(U.S. dollars and shares in thousands, except per share information)</w:t>
      </w:r>
    </w:p>
    <w:p>
      <w:pPr>
        <w:pStyle w:val="TextBody"/>
        <w:bidi w:val="0"/>
        <w:spacing w:before="0" w:after="0"/>
        <w:ind w:left="0" w:right="0" w:hanging="0"/>
        <w:jc w:val="left"/>
        <w:rPr>
          <w:rFonts w:ascii="Times New Roman;Times;serif" w:hAnsi="Times New Roman;Times;serif"/>
          <w:b/>
          <w:sz w:val="20"/>
        </w:rPr>
      </w:pPr>
      <w:bookmarkStart w:id="602" w:name="_1.__"/>
      <w:bookmarkEnd w:id="602"/>
      <w:r>
        <w:rPr>
          <w:rFonts w:ascii="Times New Roman;Times;serif" w:hAnsi="Times New Roman;Times;serif"/>
          <w:b/>
          <w:sz w:val="20"/>
        </w:rPr>
        <w:t>1.      Nature of Business and Liquidity</w:t>
      </w:r>
    </w:p>
    <w:p>
      <w:pPr>
        <w:pStyle w:val="TextBody"/>
        <w:bidi w:val="0"/>
        <w:spacing w:before="0" w:after="0"/>
        <w:ind w:left="0" w:right="0" w:hanging="0"/>
        <w:jc w:val="left"/>
        <w:rPr/>
      </w:pPr>
      <w:r>
        <w:rPr/>
        <w:t>​</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Fennec Pharmaceuticals Inc., a corporation existing under the laws of British Columbia  (“Fennec,” “the Company,” “we,” “us,” or “our”) was originally formed as a British Columbia corporation under the name Adherex Technologies Inc. and subsequently changed its name on September 3, 2014. Fennec, together with its wholly owned subsidiaries Oxiquant, Inc. and Fennec Pharmaceuticals, Inc., both Delaware corporations, Cadherin Biomedical Inc., a Canadian corporation, and Fennec Pharmaceuticals (EU) Limited, an Ireland company (“Fennec Limited”), collectively referred to herein as the “Company,” is a biopharmaceutical company focused on the commercialization of PEDMARK</w:t>
      </w:r>
      <w:r>
        <w:rPr>
          <w:rFonts w:ascii="Times New Roman;Times;serif" w:hAnsi="Times New Roman;Times;serif"/>
          <w:sz w:val="15"/>
        </w:rPr>
        <w:t>®</w:t>
      </w:r>
      <w:r>
        <w:rPr>
          <w:rFonts w:ascii="Times New Roman;Times;serif" w:hAnsi="Times New Roman;Times;serif"/>
          <w:sz w:val="20"/>
        </w:rPr>
        <w:t>, which is approved by the U.S. Food and Drug Administration, the European Medicines Agency (“EMA”), and the Medicines and Healthcare products Regulatory Agency (“MHRA”) to reduce the risk of ototoxicity associated with cisplatin in pediatric patients one month of age and older with localized, non-metastatic solid tumors. With the exception of Fennec Pharmaceuticals, Inc., all subsidiaries are inactive.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unaudited interim condensed consolidated financial statements have been prepared in accordance with accounting principles generally accepted in the United States of America (“U.S. GAAP”) for interim financial information and with the instructions to Form 10-Q and Article 10 of Regulation S-X. Accordingly, they do not include all of the information and footnotes required by U.S. GAAP for complete annual financial statements, and these unaudited interim condensed consolidated financial statements should be read in conjunction with the audited consolidated financial statements and related notes included in the Company’s Annual Report on Form 10-K for the year ended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accounting policies are consistent with those presented in the audited consolidated financial statements included in the Annual Report on Form 10-K for the year ended December 31, 2025.</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2026, the Company had cash and cash equivalents of $41,249, an accumulated deficit of $227,248 and total stockholders’ equity of $42,442. For the six months ended June 30, 2026, the Company reported income from operations of $1,618, net income of $2,174 and net cash provided by operating activities of $2,429. The Company believes that its existing cash and cash equivalents, together with expected revenues from operations, will be sufficient to fund its operating plan for at least the next twelve months from the issuance date of these unaudited interim condensed consolidated financial statements.</w:t>
      </w:r>
    </w:p>
    <w:p>
      <w:pPr>
        <w:pStyle w:val="TextBody"/>
        <w:bidi w:val="0"/>
        <w:spacing w:before="0" w:after="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both"/>
        <w:rPr/>
      </w:pPr>
      <w:r>
        <w:rPr/>
        <w:t>​</w:t>
      </w:r>
    </w:p>
    <w:p>
      <w:pPr>
        <w:pStyle w:val="TextBody"/>
        <w:bidi w:val="0"/>
        <w:spacing w:before="0" w:after="120"/>
        <w:ind w:left="0" w:right="0" w:hanging="0"/>
        <w:jc w:val="left"/>
        <w:rPr>
          <w:rFonts w:ascii="Times New Roman;Times;serif" w:hAnsi="Times New Roman;Times;serif"/>
          <w:b/>
          <w:sz w:val="20"/>
        </w:rPr>
      </w:pPr>
      <w:bookmarkStart w:id="603" w:name="_Basis_of_Presentation"/>
      <w:bookmarkStart w:id="604" w:name="Item2SignificantAccountingpolicies"/>
      <w:bookmarkEnd w:id="603"/>
      <w:bookmarkEnd w:id="604"/>
      <w:r>
        <w:rPr>
          <w:rFonts w:ascii="Times New Roman;Times;serif" w:hAnsi="Times New Roman;Times;serif"/>
          <w:b/>
          <w:sz w:val="20"/>
        </w:rPr>
        <w:t>2.    Significant Accounting Policies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unaudited interim condensed consolidated financial statements have been prepared in accordance with accounting principles generally accepted in the United States of America (“U.S. GAAP”) and are the responsibility of the Company’s management. These unaudited interim condensed consolidated financial statements do not include all of the information and notes required by U.S. GAAP for annual financial statements. Accordingly, these unaudited interim condensed consolidated financial statements should be read in conjunction with the Company’s audited consolidated financial statements and related notes included in the Company’s Annual Report on Form 10-K for the year ended December 31, 2025.</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impact the reported amounts of assets and liabilities and disclosure of contingent assets and liabilities as of the date of the consolidated financial statements and the reported amounts of revenue and expense during the reporting period. Significant estimates include revenue recognition, allowance against trade receivables, measurement of stock-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compensation and estimates of the Company’s capital requirements over the next twelve months from the date of issuance of the consolidated financial statements. Actual results could differ from those estimates.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Credit Losses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estimates and records a provision for expected credit losses related to its trade receivables. The Company considers historical collection rates, the current financial status of its customers, macroeconomic factors and other industry-specific factors when evaluating expected credit losses. To determine the provision for credit losses for accounts receivable, the Company disaggregates its receivables by class of customer because the risk profile of its customers may vary based on characteristics such as credit history, past payment history and geography. Each class of customer is analyzed individually for estimated credit losses, and specific allowance amounts are established, when appropriate, based on a review of outstanding invoices for customers with a higher probability of default.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Segment and Geographic Information</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Operating segments are defined as components of an enterprise engaging in business activities for which discrete financial information is available and regularly reviewed by the chief operating decision maker in deciding how to allocate resources and assess performance. The Company views its operations and manages its business in one operating segment, which is the commercialization of PEDMARK</w:t>
      </w:r>
      <w:r>
        <w:rPr>
          <w:rFonts w:ascii="Times New Roman;Times;serif" w:hAnsi="Times New Roman;Times;serif"/>
          <w:sz w:val="15"/>
        </w:rPr>
        <w:t>®</w:t>
      </w:r>
      <w:r>
        <w:rPr>
          <w:rFonts w:ascii="Times New Roman;Times;serif" w:hAnsi="Times New Roman;Times;serif"/>
          <w:sz w:val="20"/>
        </w:rPr>
        <w:t>, and its employees support only one operating segment.</w:t>
      </w:r>
    </w:p>
    <w:p>
      <w:pPr>
        <w:pStyle w:val="TextBody"/>
        <w:bidi w:val="0"/>
        <w:spacing w:before="0" w:after="120"/>
        <w:ind w:left="0" w:right="0" w:hanging="0"/>
        <w:jc w:val="both"/>
        <w:rPr>
          <w:rFonts w:ascii="Times New Roman;font-weight:bold" w:hAnsi="Times New Roman;font-weight:bold"/>
          <w:b/>
          <w:sz w:val="20"/>
        </w:rPr>
      </w:pPr>
      <w:r>
        <w:rPr>
          <w:rFonts w:ascii="Times New Roman;font-weight:bold" w:hAnsi="Times New Roman;font-weight:bold"/>
          <w:b/>
          <w:sz w:val="20"/>
        </w:rPr>
        <w:t>Stock-Based Compensation</w:t>
      </w:r>
    </w:p>
    <w:p>
      <w:pPr>
        <w:pStyle w:val="TextBody"/>
        <w:bidi w:val="0"/>
        <w:spacing w:before="0" w:after="240"/>
        <w:ind w:left="0" w:right="0" w:hanging="0"/>
        <w:jc w:val="both"/>
        <w:rPr>
          <w:rFonts w:ascii="Times New Roman" w:hAnsi="Times New Roman"/>
          <w:sz w:val="20"/>
        </w:rPr>
      </w:pPr>
      <w:r>
        <w:rPr>
          <w:rFonts w:ascii="Times New Roman" w:hAnsi="Times New Roman"/>
          <w:sz w:val="20"/>
        </w:rPr>
        <w:t>Under the Company’s stock-based compensation programs, the Company periodically grants stock options and restricted stock to employees, directors and consultants. The Company also issues shares under an employee stock purchase plan. The fair value of each award is recognized in the Company’s statements of operations over the requisite service period for such award.</w:t>
      </w:r>
    </w:p>
    <w:p>
      <w:pPr>
        <w:pStyle w:val="TextBody"/>
        <w:bidi w:val="0"/>
        <w:spacing w:before="0" w:after="240"/>
        <w:ind w:left="0" w:right="0" w:hanging="0"/>
        <w:jc w:val="both"/>
        <w:rPr>
          <w:rFonts w:ascii="Times New Roman" w:hAnsi="Times New Roman"/>
          <w:sz w:val="20"/>
        </w:rPr>
      </w:pPr>
      <w:r>
        <w:rPr>
          <w:rFonts w:ascii="Times New Roman" w:hAnsi="Times New Roman"/>
          <w:sz w:val="20"/>
        </w:rPr>
        <w:t>Under the employee stock purchase plan, substantially all employees of the Company and its U.S. subsidiaries are eligible to participate, subject to statutory limitations, including the exclusion of employees who own 5% or more of the Company’s voting stock.</w:t>
      </w:r>
    </w:p>
    <w:p>
      <w:pPr>
        <w:pStyle w:val="TextBody"/>
        <w:bidi w:val="0"/>
        <w:spacing w:before="0" w:after="240"/>
        <w:ind w:left="0" w:right="0" w:hanging="0"/>
        <w:jc w:val="both"/>
        <w:rPr>
          <w:rFonts w:ascii="Times New Roman" w:hAnsi="Times New Roman"/>
          <w:sz w:val="20"/>
        </w:rPr>
      </w:pPr>
      <w:r>
        <w:rPr>
          <w:rFonts w:ascii="Times New Roman" w:hAnsi="Times New Roman"/>
          <w:sz w:val="20"/>
        </w:rPr>
        <w:t>The Company uses the Black-Scholes option pricing model to value stock option awards without market conditions, which requires the Company to make certain assumptions regarding the expected volatility of its common stock price, the expected term of the option grants, the risk-free interest rate and the dividend yield with respect to its common stock. The Company calculates volatility using its historical stock price data. Due to the lack of the Company’s own historical data, the Company elected to use the “simplified” method for “plain vanilla” options to estimate the expected term of the Company’s stock option grants. Under this approach, the weighted-average expected life is presumed to be the average of the vesting term and the contractual term of the option. The risk-free interest rate used for each grant is based on the United States Treasury yield curve in effect at the time of grant for instruments with a similar expected life. The Company utilizes a dividend yield of zero based on the fact that the Company has never paid cash dividends and, at present, has no intention to pay cash dividends.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Inventory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Inventories are valued under a standard costing methodology on a first-in, first-out basis and are stated at the lower of cost or net realizable value. The Company capitalizes inventory costs related to products to be sold in the ordinary course of business. The Company makes a determination of capitalizing inventory costs for a product based on, among other factors, status of regulatory approval, information regarding safety, efficacy and expectations relating to commercial sales and recoverability of costs. Capitalized costs of inventories mainly include third party manufacturing, logistics and distribution costs. The Company assesses recoverability of inventory each reporting period to determine any write down to net realizable value resulting from excess or obsolete inventories.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Accounting Standards Codification (“ASC”) 606, Revenue from Contracts with Customers, the Company recognizes revenue when its customers obtain control of promised goods or services, in an amount that reflects the consideration which the Company determines it expects to receive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its performance obligation(s). As part of the accounting for these arrangements, the Company must make significant judgments, including identifying performance obligations in the contract, estimating the amount of variable consideration to include in the transaction price and allocating the transaction price to each performance obligation.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License Agreements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generates revenue from license or similar agreements with pharmaceutical companies for the commercialization of its product. Such agreements may include the transfer of intellectual property rights in the form of licenses. Payments made by the customers may include non-refundable upfront fees, payments based upon the achievement of defined milestones, and royalties on sales of product.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 Optional future services where any additional consideration paid to the Company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Contingent milestones at contract inception are estimated at the amount which is not probable of a material reversal and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or sales-based milestone payments that may not be subject to a material reversal and, if necessary, adjust the estimate of the overall transaction price. Any such adjustments are recorded on a cumulative catch-up basis, which would affect license and other revenue, as well as earnings, in the period of adjustment.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arrangements that include sales-based royalties, including sales-based milestone payments, and a license of intellectual property that is deemed to be the predominant item to which the royalties relate, revenue is recognized at the later of when the related sales occur or when the performance obligation to which some or all of the royalties have been allocated has been satisfied (or partially satisfied).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Net Product Revenue</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On September 20, 2022, the FDA approved PEDMARK</w:t>
      </w:r>
      <w:r>
        <w:rPr>
          <w:rFonts w:ascii="Times New Roman;Times;serif" w:hAnsi="Times New Roman;Times;serif"/>
          <w:sz w:val="15"/>
        </w:rPr>
        <w:t>®</w:t>
      </w:r>
      <w:r>
        <w:rPr>
          <w:rFonts w:ascii="Times New Roman;Times;serif" w:hAnsi="Times New Roman;Times;serif"/>
          <w:sz w:val="20"/>
        </w:rPr>
        <w:t xml:space="preserve"> in the United States to reduce the risk of ototoxicity associated with cisplatin in pediatric patients one month of age and older with localized, non-metastatic solid tumors. PEDMARK</w:t>
      </w:r>
      <w:r>
        <w:rPr>
          <w:rFonts w:ascii="Times New Roman;Times;serif" w:hAnsi="Times New Roman;Times;serif"/>
          <w:sz w:val="15"/>
        </w:rPr>
        <w:t>®</w:t>
      </w:r>
      <w:r>
        <w:rPr>
          <w:rFonts w:ascii="Times New Roman;Times;serif" w:hAnsi="Times New Roman;Times;serif"/>
          <w:sz w:val="20"/>
        </w:rPr>
        <w:t xml:space="preserve"> became commercially available on October 17, 2022. PEDMARK</w:t>
      </w:r>
      <w:r>
        <w:rPr>
          <w:rFonts w:ascii="Times New Roman;Times;serif" w:hAnsi="Times New Roman;Times;serif"/>
          <w:sz w:val="15"/>
        </w:rPr>
        <w:t>®</w:t>
      </w:r>
      <w:r>
        <w:rPr>
          <w:rFonts w:ascii="Times New Roman;Times;serif" w:hAnsi="Times New Roman;Times;serif"/>
          <w:sz w:val="20"/>
        </w:rPr>
        <w:t xml:space="preserve"> is the Company’s first commercial product. Amongst the Company’s customers are distributors which subsequently resell the Company’s products to health care providers and patients. In addition to distribution agreements, the Company enters into arrangements with health care providers and payors that provide for government-mandated and/or privately- negotiated rebates, chargebacks and discounts with respect to the purchase of the Company’s products. Revenues from product sales are recognized when the customer obtains control of the Company’s product, which occurs at a point in time, typically upon delivery to the customer.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40"/>
        <w:ind w:left="0" w:right="0" w:hanging="0"/>
        <w:jc w:val="left"/>
        <w:rPr>
          <w:rFonts w:ascii="Times New Roman;Times;serif" w:hAnsi="Times New Roman;Times;serif"/>
          <w:sz w:val="20"/>
        </w:rPr>
      </w:pPr>
      <w:bookmarkStart w:id="605" w:name="Co-payment_Assistance"/>
      <w:bookmarkStart w:id="606" w:name="Significant_Accounting_Policies_-_Additi"/>
      <w:bookmarkEnd w:id="605"/>
      <w:bookmarkEnd w:id="606"/>
      <w:r>
        <w:rPr>
          <w:rFonts w:ascii="Times New Roman;Times;serif" w:hAnsi="Times New Roman;Times;serif"/>
          <w:b/>
          <w:sz w:val="20"/>
        </w:rPr>
        <w:t>Other Revenue – Material Right Under PEDMARK</w:t>
      </w:r>
      <w:r>
        <w:rPr>
          <w:rFonts w:ascii="Times New Roman;Times;serif" w:hAnsi="Times New Roman;Times;serif"/>
          <w:b/>
          <w:sz w:val="15"/>
        </w:rPr>
        <w:t>®</w:t>
      </w:r>
      <w:r>
        <w:rPr>
          <w:rFonts w:ascii="Times New Roman;Times;serif" w:hAnsi="Times New Roman;Times;serif"/>
          <w:sz w:val="20"/>
        </w:rPr>
        <w:t xml:space="preserve"> </w:t>
      </w:r>
      <w:r>
        <w:rPr>
          <w:rFonts w:ascii="Times New Roman;Times;serif" w:hAnsi="Times New Roman;Times;serif"/>
          <w:b/>
          <w:sz w:val="20"/>
        </w:rPr>
        <w:t>License</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Other revenue for the three and six months ended June 30, 2026 of $710 relates to the amortization of amounts previously recorded as deferred licensing revenue (contract liability) under the Company’s commercialization agreement for PEDMARK</w:t>
      </w:r>
      <w:r>
        <w:rPr>
          <w:rFonts w:ascii="Times New Roman;Times;serif" w:hAnsi="Times New Roman;Times;serif"/>
          <w:sz w:val="15"/>
        </w:rPr>
        <w:t>®</w:t>
      </w:r>
      <w:r>
        <w:rPr>
          <w:rFonts w:ascii="Times New Roman;Times;serif" w:hAnsi="Times New Roman;Times;serif"/>
          <w:sz w:val="20"/>
        </w:rPr>
        <w:t xml:space="preserve"> with Norgine. Under ASC 606, a portion of the upfront consideration received from Norgine was allocated to a material right and initially recorded as deferred revenue. This deferred revenue is recognized as “Other revenue” as PEDMARK</w:t>
      </w:r>
      <w:r>
        <w:rPr>
          <w:rFonts w:ascii="Times New Roman;Times;serif" w:hAnsi="Times New Roman;Times;serif"/>
          <w:sz w:val="15"/>
        </w:rPr>
        <w:t>®</w:t>
      </w:r>
      <w:r>
        <w:rPr>
          <w:rFonts w:ascii="Times New Roman;Times;serif" w:hAnsi="Times New Roman;Times;serif"/>
          <w:sz w:val="20"/>
        </w:rPr>
        <w:t xml:space="preserve"> units are shipped to Norgine and the related material right is satisfied. Royalties earned under the Norgine agreement on commercial sales of PEDMARK</w:t>
      </w:r>
      <w:r>
        <w:rPr>
          <w:rFonts w:ascii="Times New Roman;Times;serif" w:hAnsi="Times New Roman;Times;serif"/>
          <w:sz w:val="15"/>
        </w:rPr>
        <w:t>®</w:t>
      </w:r>
      <w:r>
        <w:rPr>
          <w:rFonts w:ascii="Times New Roman;Times;serif" w:hAnsi="Times New Roman;Times;serif"/>
          <w:sz w:val="20"/>
        </w:rPr>
        <w:t xml:space="preserve"> are included in PEDMARK</w:t>
      </w:r>
      <w:r>
        <w:rPr>
          <w:rFonts w:ascii="Times New Roman;Times;serif" w:hAnsi="Times New Roman;Times;serif"/>
          <w:sz w:val="15"/>
        </w:rPr>
        <w:t>®</w:t>
      </w:r>
      <w:r>
        <w:rPr>
          <w:rFonts w:ascii="Times New Roman;Times;serif" w:hAnsi="Times New Roman;Times;serif"/>
          <w:sz w:val="20"/>
        </w:rPr>
        <w:t xml:space="preserve"> product sales, net.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Product Sales Discounts and Allowances</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The Company records revenues from product sales at the net sales price (transaction price), which includes estimates of variable consideration for which reserves are established primarily from discounts, chargebacks, rebates, co-pay assistance, returns and other allowances that are offered within contracts between the Company and its customers, health care providers, payors and other indirect customers relating to the sales of its products. These reserves are based on the amounts to be claimed on the related sales and are classified as a contra-asset or current liability. Where appropriate, these estimates take into consideration a range of possible outcomes that are probability-weighted for relevant factors such as current contractual and statutory requirements, specific known market events and trends, industry data, forecasted customer buying and payment patterns, and the Company’s historical experience that will develop over time as PEDMARK</w:t>
      </w:r>
      <w:r>
        <w:rPr>
          <w:rFonts w:ascii="Times New Roman;Times;serif" w:hAnsi="Times New Roman;Times;serif"/>
          <w:sz w:val="15"/>
        </w:rPr>
        <w:t>®</w:t>
      </w:r>
      <w:r>
        <w:rPr>
          <w:rFonts w:ascii="Times New Roman;Times;serif" w:hAnsi="Times New Roman;Times;serif"/>
          <w:sz w:val="20"/>
        </w:rPr>
        <w:t xml:space="preserve"> and PEDMARQSI</w:t>
      </w:r>
      <w:r>
        <w:rPr>
          <w:rFonts w:ascii="Times New Roman;Times;serif" w:hAnsi="Times New Roman;Times;serif"/>
          <w:sz w:val="15"/>
        </w:rPr>
        <w:t>®</w:t>
      </w:r>
      <w:r>
        <w:rPr>
          <w:rFonts w:ascii="Times New Roman;Times;serif" w:hAnsi="Times New Roman;Times;serif"/>
          <w:sz w:val="20"/>
        </w:rPr>
        <w:t xml:space="preserve"> (European branded product name) is the Company’s first and only commercial product. Overall, these reserves reflect the Company’s best estimates of the amount of consideration to which it is entitled based on the terms of its contracts. The amount of variable consideration that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will adjust these estimates, which would affect net product revenues and earnings in the period such variances become known.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Chargebacks:</w:t>
      </w:r>
      <w:r>
        <w:rPr>
          <w:rFonts w:ascii="Times New Roman;Times;serif" w:hAnsi="Times New Roman;Times;serif"/>
          <w:sz w:val="20"/>
        </w:rPr>
        <w:t xml:space="preserve"> Chargebacks are discounts that occur when contracted customers purchase directly from a specialty distributor. Contracted customers, which currently consist of Public Health Service institutions and Federal government entities purchasing via the Federal Supply Schedule, generally purchase the product at a discounted price. The specialty distributor, in turn, charges back to the Company the difference between the price initially paid by the specialty distributor and the discounted price paid to the specialty distributor by its contracted customer. The allowance for chargebacks is based on actual chargebacks received and an estimate of sales by the specialty distributor to its contracted customers.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Discounts for Prompt Payment:</w:t>
      </w:r>
      <w:r>
        <w:rPr>
          <w:rFonts w:ascii="Times New Roman;Times;serif" w:hAnsi="Times New Roman;Times;serif"/>
          <w:sz w:val="20"/>
        </w:rPr>
        <w:t xml:space="preserve"> The customers receive a discount for prompt payment which may range from 0.5% to 2.0%. The Company expects its customers will earn 100% of their prompt payment discounts and, therefore, the Company deducts the full amount of these discounts from total product sales when revenues are recognized.</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i/>
          <w:sz w:val="20"/>
        </w:rPr>
        <w:t>Rebates:</w:t>
      </w:r>
      <w:r>
        <w:rPr>
          <w:rFonts w:ascii="Times New Roman;Times;serif" w:hAnsi="Times New Roman;Times;serif"/>
          <w:sz w:val="20"/>
        </w:rPr>
        <w:t xml:space="preserve"> Allowances for rebates include mandated discounts under the Medicaid Drug Rebate Program and other government programs. Rebate amounts owed after the final dispensing of the product to a benefit plan participant are based upon contractual agreements or legal requirements with public sector benefit providers, such as Medicaid. The allowance for rebates is based on statutory or contractual discount rates and expected utilization. The Company’s estimates for the expected utilization of rebates are based on customer and payor data received from the specialty distributors and historical utilization rates that will develop over time, as PEDMARK</w:t>
      </w:r>
      <w:r>
        <w:rPr>
          <w:rFonts w:ascii="Times New Roman;Times;serif" w:hAnsi="Times New Roman;Times;serif"/>
          <w:sz w:val="15"/>
        </w:rPr>
        <w:t>®</w:t>
      </w:r>
      <w:r>
        <w:rPr>
          <w:rFonts w:ascii="Times New Roman;Times;serif" w:hAnsi="Times New Roman;Times;serif"/>
          <w:sz w:val="20"/>
        </w:rPr>
        <w:t xml:space="preserve"> is the Company’s first and only commercial product. Rebates are generally invoiced by the payor and paid in arrears, such that the accrual balance consists of an estimate of the amount expected to be incurred for the current quarter’s shipments to the customers, plus an accrual balance for known prior quarters’ unpaid rebates. If actual future rebates vary from estimates, the Company may need to adjust its accruals, which would affect net product revenues in the period of adjustment.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Co-payment Assistance:</w:t>
      </w:r>
      <w:r>
        <w:rPr>
          <w:rFonts w:ascii="Times New Roman;Times;serif" w:hAnsi="Times New Roman;Times;serif"/>
          <w:sz w:val="20"/>
        </w:rPr>
        <w:t xml:space="preserve"> Patients who have commercial insurance and meet certain eligibility requirements may receive co-payment assistance. The Company accrues a liability for co-payment assistance based on actual program participation and estimates of program redemption using customer data provided by the third party that administers the copay program.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607" w:name="Tc_S5gRa71wjEy1G1k1b9r3ZA_16_8"/>
      <w:bookmarkStart w:id="608" w:name="Tc_RYBnQrHBiUSPIukg-O4kaw_16_5"/>
      <w:bookmarkStart w:id="609" w:name="Tc_simZVRHMOk2Bia7qiLcLEQ_16_2"/>
      <w:bookmarkStart w:id="610" w:name="Tc_ZyCcHzcdT0GuIGYgH_BS_w_16_0"/>
      <w:bookmarkStart w:id="611" w:name="Tc_7xLWaq5nvUC9UWtS22NkfA_15_0"/>
      <w:bookmarkStart w:id="612" w:name="Tc_o7oZLtEWikC2eL0tsm3l0A_14_9"/>
      <w:bookmarkStart w:id="613" w:name="Tc_ZsWcsfXA1EeZY0iD4oGsxQ_14_6"/>
      <w:bookmarkStart w:id="614" w:name="Tc_G469kzC6sEC8thFrRNihtQ_14_3"/>
      <w:bookmarkStart w:id="615" w:name="Tc_7oHONsjZCUCEXbhvpJyl3A_14_0"/>
      <w:bookmarkStart w:id="616" w:name="Tc_CjxEfxpuL0KkvyHRlxXkOQ_13_0"/>
      <w:bookmarkStart w:id="617" w:name="Tc_zxwxpUtx3ES3WTlElyGC9w_12_0"/>
      <w:bookmarkStart w:id="618" w:name="Tc_r-7odIHXUECRPujZn6k1KA_11_8"/>
      <w:bookmarkStart w:id="619" w:name="Tc_NcMajNXZNU2ZjM7ZjouVKw_11_5"/>
      <w:bookmarkStart w:id="620" w:name="Tc_NlbIMgklpUyRwewr5YfG_g_11_2"/>
      <w:bookmarkStart w:id="621" w:name="Tc_IlLkJcGOkEmRE-ouiZkS4g_11_0"/>
      <w:bookmarkStart w:id="622" w:name="Tc_y5ddk6iMkU-S7JAVD9xe2A_10_0"/>
      <w:bookmarkStart w:id="623" w:name="Tc_CJTPnzw4cEynLuvAqe8Egg_9_9"/>
      <w:bookmarkStart w:id="624" w:name="Tc_sknDA9GE80KA6HhGRWWNzA_9_6"/>
      <w:bookmarkStart w:id="625" w:name="Tc_HpUmOZVlMUipZRG7xDd_Pg_9_3"/>
      <w:bookmarkStart w:id="626" w:name="Tc_rMQz2kEN-EiY-zuIm4HNHQ_9_0"/>
      <w:bookmarkStart w:id="627" w:name="Tc_OEq9l0IKFUae26sAYIfzOA_8_0"/>
      <w:bookmarkStart w:id="628" w:name="Tc_cxwzDBu3UEqCk0OgHQkiqg_7_0"/>
      <w:bookmarkStart w:id="629" w:name="Tc_uyD0b9IflEus5Y16HH0-Vw_6_8"/>
      <w:bookmarkStart w:id="630" w:name="Tc_QqKcWVaUfkmnDUORSRX2wA_6_5"/>
      <w:bookmarkStart w:id="631" w:name="Tc_1WUwHmjvfU6ABcMRk-yA4w_6_2"/>
      <w:bookmarkStart w:id="632" w:name="Tc_NPoOsgXiU0esN0PNJIUzYg_6_0"/>
      <w:bookmarkStart w:id="633" w:name="Tc__Jy6v-EKoEyDpvnfB4qdeg_5_8"/>
      <w:bookmarkStart w:id="634" w:name="Tc_MJGKaJVrr0qrchkomzsriA_5_5"/>
      <w:bookmarkStart w:id="635" w:name="Tc_zvGztfDGOUW2ALAC9GHkjg_5_2"/>
      <w:bookmarkStart w:id="636" w:name="Tc_yo44pr5s5kO3N6MCWrGLEw_5_0"/>
      <w:bookmarkStart w:id="637" w:name="Tc_jQvkXeeeqEOzKgVNdfEeCQ_4_5"/>
      <w:bookmarkStart w:id="638" w:name="Tc_Dpayr_LKZkqy7tTxC-5yHQ_4_2"/>
      <w:bookmarkStart w:id="639" w:name="Tc_JGsoag1Spk2VKcHfHi_WDQ_3_5"/>
      <w:bookmarkStart w:id="640" w:name="Tc_Cw0X-s7JfkaSnnhDjoGymw_3_2"/>
      <w:bookmarkStart w:id="641" w:name="Tc__5i-CNWySkOHzA_RYRD9jg_2_5"/>
      <w:bookmarkStart w:id="642" w:name="Tc_RaqWgwOWZUOlVoW2oYHYaA_2_2"/>
      <w:bookmarkStart w:id="643" w:name="Tc_2d3UBDiZkk-aHOM5F92mmA_9_12"/>
      <w:bookmarkStart w:id="644" w:name="Tc_pCkkrP2gR0eeaah3uH1G7A_9_9"/>
      <w:bookmarkStart w:id="645" w:name="Tc_A0XTgqjJOUS-qIQfCY1rBA_9_6"/>
      <w:bookmarkStart w:id="646" w:name="Tc_3VdGkcS4F0qUoyZNCFbh-A_9_3"/>
      <w:bookmarkStart w:id="647" w:name="Tc_K8Fzcnc1MUOrQ9wS6V7a5g_9_0"/>
      <w:bookmarkStart w:id="648" w:name="Tc_yLYCtFhIgU-yENNT8DVcoA_8_13"/>
      <w:bookmarkStart w:id="649" w:name="Tc_nk-h7jYjGU2M6gwZExt_Ag_8_7"/>
      <w:bookmarkStart w:id="650" w:name="Tc_aVj24gpjnUq3uR9EIL_UoQ_8_0"/>
      <w:bookmarkStart w:id="651" w:name="Tc_tCs37dnC3U2NqyG5208Gsw_7_12"/>
      <w:bookmarkStart w:id="652" w:name="Tc_l9p3lB1KYkqMwP6ZclgRhQ_7_9"/>
      <w:bookmarkStart w:id="653" w:name="Tc_z7MO3qMQUkqmyVMLhlbbWA_7_6"/>
      <w:bookmarkStart w:id="654" w:name="Tc_EuUBsf6HBEmdCGJpvhjHyw_7_3"/>
      <w:bookmarkStart w:id="655" w:name="Tc_TfsSLDnZCU2mORUjIzvx0w_7_0"/>
      <w:bookmarkStart w:id="656" w:name="Tc_H6sqRUbRBUi-CWafPoVggA_6_0"/>
      <w:bookmarkStart w:id="657" w:name="Tc_8FObsj8YIE6sq9C_2hgk3A_5_12"/>
      <w:bookmarkStart w:id="658" w:name="Tc_afxKuB6i40OT110SojF2TA_5_9"/>
      <w:bookmarkStart w:id="659" w:name="Tc_fxcbdBnifkCGbV01NHUXiQ_5_6"/>
      <w:bookmarkStart w:id="660" w:name="Tc_gukTj1ZNrkGQugtzZFGRgQ_5_3"/>
      <w:bookmarkStart w:id="661" w:name="Tc_DKIWij6wpEi_DNT-oXHJog_5_0"/>
      <w:bookmarkStart w:id="662" w:name="Tc_FnZCg9aACUaQ5viBfNPQXQ_4_0"/>
      <w:bookmarkStart w:id="663" w:name="Tc_nhqHPPEgGEKvMJipJecq-w_3_13"/>
      <w:bookmarkStart w:id="664" w:name="Tc_7C3pzqqFo0SiMRm9CBGMZA_3_10"/>
      <w:bookmarkStart w:id="665" w:name="Tc__7U8tBx7LkeMFpxurc7Psw_3_7"/>
      <w:bookmarkStart w:id="666" w:name="Tc_djSJiY8RNECX6dHCavO-xw_3_4"/>
      <w:bookmarkStart w:id="667" w:name="Tc_jHo2YFYPtUKzfjlha30ywQ_3_0"/>
      <w:bookmarkStart w:id="668" w:name="Tc_3NDTVX155E-sAabd2P1UYA_2_13"/>
      <w:bookmarkStart w:id="669" w:name="Tc_4J9OvnEh3k6xxapwMOvqWg_2_10"/>
      <w:bookmarkStart w:id="670" w:name="Tc_GfEXTi7IzUiL66SRVKbGbQ_2_7"/>
      <w:bookmarkStart w:id="671" w:name="Tc_5R5mkbiPD0u1PJ2XZDjgYg_2_4"/>
      <w:bookmarkStart w:id="672" w:name="Tc_3ShMZrdd7EKHqTxTq4sw6g_1_9"/>
      <w:bookmarkStart w:id="673" w:name="Tc_F7oijB9WRkCGU_BsZkPoxQ_1_3"/>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r>
        <w:rPr>
          <w:rFonts w:ascii="Times New Roman;Times;serif" w:hAnsi="Times New Roman;Times;serif"/>
          <w:i/>
          <w:sz w:val="20"/>
        </w:rPr>
        <w:t>Other Customer Credits:</w:t>
      </w:r>
      <w:r>
        <w:rPr>
          <w:rFonts w:ascii="Times New Roman;Times;serif" w:hAnsi="Times New Roman;Times;serif"/>
          <w:sz w:val="20"/>
        </w:rPr>
        <w:t xml:space="preserve"> The Company pays fees to its customers for account management, data management and other administrative services. To the extent the services received are distinct from the sale of products to its customers, the Company classifies these payments in selling and marketing expenses in its condensed consolidated statements of operations.</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i/>
          <w:sz w:val="20"/>
        </w:rPr>
        <w:t>Distribution and Other Fees:</w:t>
      </w:r>
      <w:r>
        <w:rPr>
          <w:rFonts w:ascii="Times New Roman;Times;serif" w:hAnsi="Times New Roman;Times;serif"/>
          <w:sz w:val="20"/>
        </w:rPr>
        <w:t xml:space="preserve"> The Company pays distribution and other fees to certain customers in connection with the sales of PEDMARK</w:t>
      </w:r>
      <w:r>
        <w:rPr>
          <w:rFonts w:ascii="Times New Roman;Times;serif" w:hAnsi="Times New Roman;Times;serif"/>
          <w:sz w:val="15"/>
        </w:rPr>
        <w:t>®</w:t>
      </w:r>
      <w:r>
        <w:rPr>
          <w:rFonts w:ascii="Times New Roman;Times;serif" w:hAnsi="Times New Roman;Times;serif"/>
          <w:sz w:val="20"/>
        </w:rPr>
        <w:t>. The Company records distribution and other fees paid to its customers as a reduction of revenue, unless the payment is for a distinct good or service from the customer and the Company can reasonably estimate the fair value of the goods or services received. If both conditions are met, the Company records the consideration paid to the customer as an operating expense. These costs are typically known at the time of sale, resulting in minimal adjustments subsequent to the period of sale.</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net product revenues for PEDMARK</w:t>
      </w:r>
      <w:r>
        <w:rPr>
          <w:rFonts w:ascii="Times New Roman;Times;serif" w:hAnsi="Times New Roman;Times;serif"/>
          <w:sz w:val="15"/>
        </w:rPr>
        <w:t>®</w:t>
      </w:r>
      <w:r>
        <w:rPr>
          <w:rFonts w:ascii="Times New Roman;Times;serif" w:hAnsi="Times New Roman;Times;serif"/>
          <w:sz w:val="20"/>
        </w:rPr>
        <w:t xml:space="preserve"> earned during the three and six months ended June 30, 2026, and 2025, respectively:</w:t>
      </w:r>
    </w:p>
    <w:p>
      <w:pPr>
        <w:pStyle w:val="TextBody"/>
        <w:bidi w:val="0"/>
        <w:spacing w:before="0" w:after="0"/>
        <w:ind w:left="0" w:right="0" w:hanging="0"/>
        <w:jc w:val="left"/>
        <w:rPr/>
      </w:pPr>
      <w:r>
        <w:rPr/>
        <w:t>​</w:t>
      </w:r>
    </w:p>
    <w:tbl>
      <w:tblPr>
        <w:tblW w:w="6719" w:type="dxa"/>
        <w:jc w:val="left"/>
        <w:tblInd w:w="0" w:type="dxa"/>
        <w:tblLayout w:type="fixed"/>
        <w:tblCellMar>
          <w:top w:w="0" w:type="dxa"/>
          <w:left w:w="0" w:type="dxa"/>
          <w:bottom w:w="0" w:type="dxa"/>
          <w:right w:w="0" w:type="dxa"/>
        </w:tblCellMar>
      </w:tblPr>
      <w:tblGrid>
        <w:gridCol w:w="2221"/>
        <w:gridCol w:w="109"/>
        <w:gridCol w:w="109"/>
        <w:gridCol w:w="211"/>
        <w:gridCol w:w="766"/>
        <w:gridCol w:w="109"/>
        <w:gridCol w:w="211"/>
        <w:gridCol w:w="766"/>
        <w:gridCol w:w="109"/>
        <w:gridCol w:w="211"/>
        <w:gridCol w:w="766"/>
        <w:gridCol w:w="109"/>
        <w:gridCol w:w="211"/>
        <w:gridCol w:w="811"/>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410335" cy="175260"/>
                      <wp:effectExtent l="0" t="0" r="0" b="0"/>
                      <wp:wrapNone/>
                      <wp:docPr id="50" name="Frame50"/>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9215" cy="175260"/>
                      <wp:effectExtent l="0" t="0" r="0" b="0"/>
                      <wp:wrapNone/>
                      <wp:docPr id="51" name="Frame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9215" cy="175260"/>
                      <wp:effectExtent l="0" t="0" r="0" b="0"/>
                      <wp:wrapNone/>
                      <wp:docPr id="52" name="Frame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3"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86410" cy="175260"/>
                      <wp:effectExtent l="0" t="0" r="0" b="0"/>
                      <wp:wrapNone/>
                      <wp:docPr id="54" name="Frame5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9215" cy="175260"/>
                      <wp:effectExtent l="0" t="0" r="0" b="0"/>
                      <wp:wrapNone/>
                      <wp:docPr id="55" name="Frame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6"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86410" cy="175260"/>
                      <wp:effectExtent l="0" t="0" r="0" b="0"/>
                      <wp:wrapNone/>
                      <wp:docPr id="57" name="Frame57"/>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9215" cy="175260"/>
                      <wp:effectExtent l="0" t="0" r="0" b="0"/>
                      <wp:wrapNone/>
                      <wp:docPr id="58" name="Frame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59"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86410" cy="175260"/>
                      <wp:effectExtent l="0" t="0" r="0" b="0"/>
                      <wp:wrapNone/>
                      <wp:docPr id="60" name="Frame6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9215" cy="175260"/>
                      <wp:effectExtent l="0" t="0" r="0" b="0"/>
                      <wp:wrapNone/>
                      <wp:docPr id="61" name="Frame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2"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14985" cy="175260"/>
                      <wp:effectExtent l="0" t="0" r="0" b="0"/>
                      <wp:wrapNone/>
                      <wp:docPr id="63" name="Frame6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109" w:type="dxa"/>
            <w:tcBorders/>
            <w:vAlign w:val="center"/>
          </w:tcPr>
          <w:p>
            <w:pPr>
              <w:pStyle w:val="TableContents"/>
              <w:bidi w:val="0"/>
              <w:spacing w:before="0" w:after="0"/>
              <w:ind w:left="0" w:right="0" w:hanging="0"/>
              <w:jc w:val="left"/>
              <w:rPr/>
            </w:pPr>
            <w:r>
              <w:rPr/>
              <w:t>​</w:t>
            </w:r>
          </w:p>
        </w:tc>
        <w:tc>
          <w:tcPr>
            <w:tcW w:w="21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2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2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Gross product revenues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18,890</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10,941</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34,758</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21,753</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Discounts and allowances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(3,350)</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product revenues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17,164</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9,652</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32,272</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18,403</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17,874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32,982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18,403</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and six months ended June 30, 2026, the Company had two distributors that each represented more than 10% of net sales, respectively.</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The activities and ending allowance balances for each significant category of discounts and allowances for PEDMARK</w:t>
      </w:r>
      <w:r>
        <w:rPr>
          <w:rFonts w:ascii="Times New Roman;Times;serif" w:hAnsi="Times New Roman;Times;serif"/>
          <w:sz w:val="15"/>
        </w:rPr>
        <w:t>®</w:t>
      </w:r>
      <w:r>
        <w:rPr>
          <w:rFonts w:ascii="Times New Roman;Times;serif" w:hAnsi="Times New Roman;Times;serif"/>
          <w:sz w:val="20"/>
        </w:rPr>
        <w:t xml:space="preserve"> (which constitute variable consideration) for the six months ended June 30, 2026, were as follows:</w:t>
      </w:r>
    </w:p>
    <w:p>
      <w:pPr>
        <w:pStyle w:val="TextBody"/>
        <w:bidi w:val="0"/>
        <w:spacing w:before="0" w:after="0"/>
        <w:ind w:left="0" w:right="0" w:hanging="0"/>
        <w:jc w:val="left"/>
        <w:rPr/>
      </w:pPr>
      <w:r>
        <w:rPr/>
        <w:t>​</w:t>
      </w:r>
    </w:p>
    <w:tbl>
      <w:tblPr>
        <w:tblW w:w="7935" w:type="dxa"/>
        <w:jc w:val="left"/>
        <w:tblInd w:w="0" w:type="dxa"/>
        <w:tblLayout w:type="fixed"/>
        <w:tblCellMar>
          <w:top w:w="0" w:type="dxa"/>
          <w:left w:w="0" w:type="dxa"/>
          <w:bottom w:w="0" w:type="dxa"/>
          <w:right w:w="0" w:type="dxa"/>
        </w:tblCellMar>
      </w:tblPr>
      <w:tblGrid>
        <w:gridCol w:w="3166"/>
        <w:gridCol w:w="109"/>
        <w:gridCol w:w="415"/>
        <w:gridCol w:w="950"/>
        <w:gridCol w:w="109"/>
        <w:gridCol w:w="498"/>
        <w:gridCol w:w="1632"/>
        <w:gridCol w:w="109"/>
        <w:gridCol w:w="211"/>
        <w:gridCol w:w="736"/>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10410" cy="175260"/>
                      <wp:effectExtent l="0" t="0" r="0" b="0"/>
                      <wp:wrapNone/>
                      <wp:docPr id="64" name="Frame64"/>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260"/>
                      <wp:effectExtent l="0" t="0" r="0" b="0"/>
                      <wp:wrapNone/>
                      <wp:docPr id="65" name="Frame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63525" cy="175260"/>
                      <wp:effectExtent l="0" t="0" r="0" b="0"/>
                      <wp:wrapNone/>
                      <wp:docPr id="66" name="Frame66"/>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03250" cy="175260"/>
                      <wp:effectExtent l="0" t="0" r="0" b="0"/>
                      <wp:wrapNone/>
                      <wp:docPr id="67" name="Frame67"/>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68" name="Frame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316230" cy="175260"/>
                      <wp:effectExtent l="0" t="0" r="0" b="0"/>
                      <wp:wrapNone/>
                      <wp:docPr id="69" name="Frame69"/>
                      <a:graphic xmlns:a="http://schemas.openxmlformats.org/drawingml/2006/main">
                        <a:graphicData uri="http://schemas.microsoft.com/office/word/2010/wordprocessingShape">
                          <wps:wsp>
                            <wps:cNvSpPr txBox="1"/>
                            <wps:spPr>
                              <a:xfrm>
                                <a:off x="0" y="0"/>
                                <a:ext cx="316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036320" cy="175260"/>
                      <wp:effectExtent l="0" t="0" r="0" b="0"/>
                      <wp:wrapNone/>
                      <wp:docPr id="70" name="Frame70"/>
                      <a:graphic xmlns:a="http://schemas.openxmlformats.org/drawingml/2006/main">
                        <a:graphicData uri="http://schemas.microsoft.com/office/word/2010/wordprocessingShape">
                          <wps:wsp>
                            <wps:cNvSpPr txBox="1"/>
                            <wps:spPr>
                              <a:xfrm>
                                <a:off x="0" y="0"/>
                                <a:ext cx="1036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9215" cy="175260"/>
                      <wp:effectExtent l="0" t="0" r="0" b="0"/>
                      <wp:wrapNone/>
                      <wp:docPr id="71" name="Frame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67360" cy="175260"/>
                      <wp:effectExtent l="0" t="0" r="0" b="0"/>
                      <wp:wrapNone/>
                      <wp:docPr id="73" name="Frame7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95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98" w:type="dxa"/>
            <w:tcBorders/>
            <w:vAlign w:val="center"/>
          </w:tcPr>
          <w:p>
            <w:pPr>
              <w:pStyle w:val="TableContents"/>
              <w:bidi w:val="0"/>
              <w:spacing w:before="0" w:after="1"/>
              <w:ind w:left="0" w:right="0" w:hanging="0"/>
              <w:jc w:val="left"/>
              <w:rPr/>
            </w:pPr>
            <w:r>
              <w:rPr/>
              <w:t>​</w:t>
            </w:r>
          </w:p>
        </w:tc>
        <w:tc>
          <w:tcPr>
            <w:tcW w:w="163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Chargebacks,</w:t>
            </w:r>
          </w:p>
        </w:tc>
        <w:tc>
          <w:tcPr>
            <w:tcW w:w="109" w:type="dxa"/>
            <w:tcBorders/>
            <w:vAlign w:val="center"/>
          </w:tcPr>
          <w:p>
            <w:pPr>
              <w:pStyle w:val="TableContents"/>
              <w:bidi w:val="0"/>
              <w:spacing w:before="0" w:after="1"/>
              <w:ind w:left="0" w:right="0" w:hanging="0"/>
              <w:jc w:val="center"/>
              <w:rPr/>
            </w:pPr>
            <w:r>
              <w:rPr/>
              <w:t>​</w:t>
            </w:r>
          </w:p>
        </w:tc>
        <w:tc>
          <w:tcPr>
            <w:tcW w:w="21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Rebates, Returns, Customer</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center"/>
              <w:rPr/>
            </w:pPr>
            <w:r>
              <w:rPr/>
              <w:t>​</w:t>
            </w:r>
          </w:p>
        </w:tc>
      </w:tr>
      <w:tr>
        <w:trPr/>
        <w:tc>
          <w:tcPr>
            <w:tcW w:w="31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Discounts for</w:t>
            </w:r>
          </w:p>
        </w:tc>
        <w:tc>
          <w:tcPr>
            <w:tcW w:w="109" w:type="dxa"/>
            <w:tcBorders/>
            <w:vAlign w:val="center"/>
          </w:tcPr>
          <w:p>
            <w:pPr>
              <w:pStyle w:val="TableContents"/>
              <w:bidi w:val="0"/>
              <w:spacing w:before="0" w:after="1"/>
              <w:ind w:left="0" w:right="0" w:hanging="0"/>
              <w:jc w:val="center"/>
              <w:rPr/>
            </w:pPr>
            <w:r>
              <w:rPr/>
              <w:t>​</w:t>
            </w:r>
          </w:p>
        </w:tc>
        <w:tc>
          <w:tcPr>
            <w:tcW w:w="21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Fees/Credits</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center"/>
              <w:rPr/>
            </w:pPr>
            <w:r>
              <w:rPr/>
              <w:t>​</w:t>
            </w:r>
          </w:p>
        </w:tc>
      </w:tr>
      <w:tr>
        <w:trPr/>
        <w:tc>
          <w:tcPr>
            <w:tcW w:w="31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Prompt pay and</w:t>
            </w:r>
          </w:p>
        </w:tc>
        <w:tc>
          <w:tcPr>
            <w:tcW w:w="109" w:type="dxa"/>
            <w:tcBorders/>
            <w:vAlign w:val="center"/>
          </w:tcPr>
          <w:p>
            <w:pPr>
              <w:pStyle w:val="TableContents"/>
              <w:bidi w:val="0"/>
              <w:spacing w:before="0" w:after="1"/>
              <w:ind w:left="0" w:right="0" w:hanging="0"/>
              <w:jc w:val="center"/>
              <w:rPr/>
            </w:pPr>
            <w:r>
              <w:rPr/>
              <w:t>​</w:t>
            </w:r>
          </w:p>
        </w:tc>
        <w:tc>
          <w:tcPr>
            <w:tcW w:w="21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and Co-Pay</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center"/>
              <w:rPr/>
            </w:pPr>
            <w:r>
              <w:rPr/>
              <w:t>​</w:t>
            </w:r>
          </w:p>
        </w:tc>
      </w:tr>
      <w:tr>
        <w:trPr/>
        <w:tc>
          <w:tcPr>
            <w:tcW w:w="31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3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 allowances</w:t>
            </w:r>
          </w:p>
        </w:tc>
        <w:tc>
          <w:tcPr>
            <w:tcW w:w="109" w:type="dxa"/>
            <w:tcBorders/>
            <w:vAlign w:val="center"/>
          </w:tcPr>
          <w:p>
            <w:pPr>
              <w:pStyle w:val="TableContents"/>
              <w:bidi w:val="0"/>
              <w:spacing w:before="0" w:after="1"/>
              <w:ind w:left="0" w:right="0" w:hanging="0"/>
              <w:jc w:val="center"/>
              <w:rPr/>
            </w:pPr>
            <w:r>
              <w:rPr/>
              <w:t>​</w:t>
            </w:r>
          </w:p>
        </w:tc>
        <w:tc>
          <w:tcPr>
            <w:tcW w:w="21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Assistance</w:t>
            </w:r>
          </w:p>
        </w:tc>
        <w:tc>
          <w:tcPr>
            <w:tcW w:w="109" w:type="dxa"/>
            <w:tcBorders/>
            <w:vAlign w:val="center"/>
          </w:tcPr>
          <w:p>
            <w:pPr>
              <w:pStyle w:val="TableContents"/>
              <w:bidi w:val="0"/>
              <w:spacing w:before="0" w:after="1"/>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December 31, 2025</w:t>
            </w:r>
          </w:p>
        </w:tc>
        <w:tc>
          <w:tcPr>
            <w:tcW w:w="109" w:type="dxa"/>
            <w:tcBorders/>
            <w:shd w:fill="CCEEFF" w:val="clear"/>
            <w:vAlign w:val="center"/>
          </w:tcPr>
          <w:p>
            <w:pPr>
              <w:pStyle w:val="TableContents"/>
              <w:bidi w:val="0"/>
              <w:spacing w:before="0" w:after="1"/>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477</w:t>
            </w:r>
          </w:p>
        </w:tc>
        <w:tc>
          <w:tcPr>
            <w:tcW w:w="109" w:type="dxa"/>
            <w:tcBorders/>
            <w:shd w:fill="CCEEFF" w:val="clear"/>
            <w:vAlign w:val="center"/>
          </w:tcPr>
          <w:p>
            <w:pPr>
              <w:pStyle w:val="TableContents"/>
              <w:bidi w:val="0"/>
              <w:spacing w:before="0" w:after="1"/>
              <w:ind w:left="0" w:right="0" w:hanging="0"/>
              <w:jc w:val="left"/>
              <w:rPr/>
            </w:pPr>
            <w:r>
              <w:rPr/>
              <w:t>​</w:t>
            </w:r>
          </w:p>
        </w:tc>
        <w:tc>
          <w:tcPr>
            <w:tcW w:w="4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32"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1,423</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1,900</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related to sales made in:</w:t>
            </w:r>
          </w:p>
        </w:tc>
        <w:tc>
          <w:tcPr>
            <w:tcW w:w="109"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95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98" w:type="dxa"/>
            <w:tcBorders/>
            <w:vAlign w:val="center"/>
          </w:tcPr>
          <w:p>
            <w:pPr>
              <w:pStyle w:val="TableContents"/>
              <w:bidi w:val="0"/>
              <w:spacing w:before="0" w:after="1"/>
              <w:ind w:left="0" w:right="0" w:hanging="0"/>
              <w:jc w:val="left"/>
              <w:rPr/>
            </w:pPr>
            <w:r>
              <w:rPr/>
              <w:t>​</w:t>
            </w:r>
          </w:p>
        </w:tc>
        <w:tc>
          <w:tcPr>
            <w:tcW w:w="163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period</w:t>
            </w:r>
          </w:p>
        </w:tc>
        <w:tc>
          <w:tcPr>
            <w:tcW w:w="109"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pPr>
            <w:r>
              <w:rPr/>
              <w:t> </w:t>
            </w:r>
          </w:p>
        </w:tc>
        <w:tc>
          <w:tcPr>
            <w:tcW w:w="95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577</w:t>
            </w:r>
          </w:p>
        </w:tc>
        <w:tc>
          <w:tcPr>
            <w:tcW w:w="109" w:type="dxa"/>
            <w:tcBorders/>
            <w:shd w:fill="CCEEFF" w:val="clear"/>
            <w:vAlign w:val="center"/>
          </w:tcPr>
          <w:p>
            <w:pPr>
              <w:pStyle w:val="TableContents"/>
              <w:bidi w:val="0"/>
              <w:spacing w:before="0" w:after="1"/>
              <w:ind w:left="0" w:right="0" w:hanging="0"/>
              <w:jc w:val="left"/>
              <w:rPr/>
            </w:pPr>
            <w:r>
              <w:rPr/>
              <w:t>​</w:t>
            </w:r>
          </w:p>
        </w:tc>
        <w:tc>
          <w:tcPr>
            <w:tcW w:w="498" w:type="dxa"/>
            <w:tcBorders/>
            <w:shd w:fill="CCEEFF" w:val="clear"/>
            <w:vAlign w:val="center"/>
          </w:tcPr>
          <w:p>
            <w:pPr>
              <w:pStyle w:val="TableContents"/>
              <w:bidi w:val="0"/>
              <w:spacing w:before="0" w:after="1"/>
              <w:ind w:left="0" w:right="0" w:hanging="0"/>
              <w:jc w:val="left"/>
              <w:rPr/>
            </w:pPr>
            <w:r>
              <w:rPr/>
              <w:t>​</w:t>
            </w:r>
          </w:p>
        </w:tc>
        <w:tc>
          <w:tcPr>
            <w:tcW w:w="163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712</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1,289</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Prior periods</w:t>
            </w:r>
          </w:p>
        </w:tc>
        <w:tc>
          <w:tcPr>
            <w:tcW w:w="109"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950"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498" w:type="dxa"/>
            <w:tcBorders/>
            <w:vAlign w:val="center"/>
          </w:tcPr>
          <w:p>
            <w:pPr>
              <w:pStyle w:val="TableContents"/>
              <w:bidi w:val="0"/>
              <w:spacing w:before="0" w:after="1"/>
              <w:ind w:left="0" w:right="0" w:hanging="0"/>
              <w:jc w:val="left"/>
              <w:rPr/>
            </w:pPr>
            <w:r>
              <w:rPr/>
              <w:t>​</w:t>
            </w:r>
          </w:p>
        </w:tc>
        <w:tc>
          <w:tcPr>
            <w:tcW w:w="1632"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center"/>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 and customer credits issued</w:t>
            </w:r>
          </w:p>
        </w:tc>
        <w:tc>
          <w:tcPr>
            <w:tcW w:w="109" w:type="dxa"/>
            <w:tcBorders/>
            <w:shd w:fill="CCEEFF" w:val="clear"/>
            <w:vAlign w:val="center"/>
          </w:tcPr>
          <w:p>
            <w:pPr>
              <w:pStyle w:val="TableContents"/>
              <w:bidi w:val="0"/>
              <w:spacing w:before="0" w:after="1"/>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50"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(824)</w:t>
            </w:r>
          </w:p>
        </w:tc>
        <w:tc>
          <w:tcPr>
            <w:tcW w:w="109" w:type="dxa"/>
            <w:tcBorders/>
            <w:shd w:fill="CCEEFF" w:val="clear"/>
            <w:vAlign w:val="center"/>
          </w:tcPr>
          <w:p>
            <w:pPr>
              <w:pStyle w:val="TableContents"/>
              <w:bidi w:val="0"/>
              <w:spacing w:before="0" w:after="1"/>
              <w:ind w:left="0" w:right="0" w:hanging="0"/>
              <w:jc w:val="left"/>
              <w:rPr/>
            </w:pPr>
            <w:r>
              <w:rPr/>
              <w:t>​</w:t>
            </w:r>
          </w:p>
        </w:tc>
        <w:tc>
          <w:tcPr>
            <w:tcW w:w="4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632"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(1,196)</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(2,020)</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March 31, 2026</w:t>
            </w:r>
          </w:p>
        </w:tc>
        <w:tc>
          <w:tcPr>
            <w:tcW w:w="109" w:type="dxa"/>
            <w:tcBorders/>
            <w:vAlign w:val="center"/>
          </w:tcPr>
          <w:p>
            <w:pPr>
              <w:pStyle w:val="TableContents"/>
              <w:bidi w:val="0"/>
              <w:spacing w:before="0" w:after="1"/>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230</w:t>
            </w:r>
          </w:p>
        </w:tc>
        <w:tc>
          <w:tcPr>
            <w:tcW w:w="109" w:type="dxa"/>
            <w:tcBorders/>
            <w:vAlign w:val="center"/>
          </w:tcPr>
          <w:p>
            <w:pPr>
              <w:pStyle w:val="TableContents"/>
              <w:bidi w:val="0"/>
              <w:spacing w:before="0" w:after="1"/>
              <w:ind w:left="0" w:right="0" w:hanging="0"/>
              <w:jc w:val="center"/>
              <w:rPr/>
            </w:pPr>
            <w:r>
              <w:rPr/>
              <w:t>​</w:t>
            </w:r>
          </w:p>
        </w:tc>
        <w:tc>
          <w:tcPr>
            <w:tcW w:w="49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3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939</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1,169</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related to sales made in:</w:t>
            </w:r>
          </w:p>
        </w:tc>
        <w:tc>
          <w:tcPr>
            <w:tcW w:w="109"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95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98" w:type="dxa"/>
            <w:tcBorders/>
            <w:shd w:fill="CCEEFF" w:val="clear"/>
            <w:vAlign w:val="center"/>
          </w:tcPr>
          <w:p>
            <w:pPr>
              <w:pStyle w:val="TableContents"/>
              <w:bidi w:val="0"/>
              <w:spacing w:before="0" w:after="1"/>
              <w:ind w:left="0" w:right="0" w:hanging="0"/>
              <w:jc w:val="left"/>
              <w:rPr/>
            </w:pPr>
            <w:r>
              <w:rPr/>
              <w:t>​</w:t>
            </w:r>
          </w:p>
        </w:tc>
        <w:tc>
          <w:tcPr>
            <w:tcW w:w="163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period</w:t>
            </w:r>
          </w:p>
        </w:tc>
        <w:tc>
          <w:tcPr>
            <w:tcW w:w="109"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 </w:t>
            </w:r>
          </w:p>
        </w:tc>
        <w:tc>
          <w:tcPr>
            <w:tcW w:w="95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866</w:t>
            </w:r>
          </w:p>
        </w:tc>
        <w:tc>
          <w:tcPr>
            <w:tcW w:w="109" w:type="dxa"/>
            <w:tcBorders/>
            <w:vAlign w:val="center"/>
          </w:tcPr>
          <w:p>
            <w:pPr>
              <w:pStyle w:val="TableContents"/>
              <w:bidi w:val="0"/>
              <w:spacing w:before="0" w:after="1"/>
              <w:ind w:left="0" w:right="0" w:hanging="0"/>
              <w:jc w:val="center"/>
              <w:rPr/>
            </w:pPr>
            <w:r>
              <w:rPr/>
              <w:t>​</w:t>
            </w:r>
          </w:p>
        </w:tc>
        <w:tc>
          <w:tcPr>
            <w:tcW w:w="498" w:type="dxa"/>
            <w:tcBorders/>
            <w:vAlign w:val="center"/>
          </w:tcPr>
          <w:p>
            <w:pPr>
              <w:pStyle w:val="TableContents"/>
              <w:bidi w:val="0"/>
              <w:spacing w:before="0" w:after="1"/>
              <w:ind w:left="0" w:right="0" w:hanging="0"/>
              <w:jc w:val="left"/>
              <w:rPr/>
            </w:pPr>
            <w:r>
              <w:rPr/>
              <w:t>​</w:t>
            </w:r>
          </w:p>
        </w:tc>
        <w:tc>
          <w:tcPr>
            <w:tcW w:w="1632"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210</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1,076</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Prior periods</w:t>
            </w:r>
          </w:p>
        </w:tc>
        <w:tc>
          <w:tcPr>
            <w:tcW w:w="109"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950"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498" w:type="dxa"/>
            <w:tcBorders/>
            <w:shd w:fill="CCEEFF" w:val="clear"/>
            <w:vAlign w:val="center"/>
          </w:tcPr>
          <w:p>
            <w:pPr>
              <w:pStyle w:val="TableContents"/>
              <w:bidi w:val="0"/>
              <w:spacing w:before="0" w:after="1"/>
              <w:ind w:left="0" w:right="0" w:hanging="0"/>
              <w:jc w:val="left"/>
              <w:rPr/>
            </w:pPr>
            <w:r>
              <w:rPr/>
              <w:t>​</w:t>
            </w:r>
          </w:p>
        </w:tc>
        <w:tc>
          <w:tcPr>
            <w:tcW w:w="1632"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center"/>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 and customer credits issued</w:t>
            </w:r>
          </w:p>
        </w:tc>
        <w:tc>
          <w:tcPr>
            <w:tcW w:w="109" w:type="dxa"/>
            <w:tcBorders/>
            <w:vAlign w:val="center"/>
          </w:tcPr>
          <w:p>
            <w:pPr>
              <w:pStyle w:val="TableContents"/>
              <w:bidi w:val="0"/>
              <w:spacing w:before="0" w:after="1"/>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5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(980)</w:t>
            </w:r>
          </w:p>
        </w:tc>
        <w:tc>
          <w:tcPr>
            <w:tcW w:w="109" w:type="dxa"/>
            <w:tcBorders/>
            <w:vAlign w:val="center"/>
          </w:tcPr>
          <w:p>
            <w:pPr>
              <w:pStyle w:val="TableContents"/>
              <w:bidi w:val="0"/>
              <w:spacing w:before="0" w:after="1"/>
              <w:ind w:left="0" w:right="0" w:hanging="0"/>
              <w:jc w:val="center"/>
              <w:rPr/>
            </w:pPr>
            <w:r>
              <w:rPr/>
              <w:t>​</w:t>
            </w:r>
          </w:p>
        </w:tc>
        <w:tc>
          <w:tcPr>
            <w:tcW w:w="4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3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(492)</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(1,472)</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June 30, 2026</w:t>
            </w:r>
          </w:p>
        </w:tc>
        <w:tc>
          <w:tcPr>
            <w:tcW w:w="109" w:type="dxa"/>
            <w:tcBorders/>
            <w:shd w:fill="CCEEFF" w:val="clear"/>
            <w:vAlign w:val="center"/>
          </w:tcPr>
          <w:p>
            <w:pPr>
              <w:pStyle w:val="TableContents"/>
              <w:bidi w:val="0"/>
              <w:spacing w:before="0" w:after="1"/>
              <w:ind w:left="0" w:right="0" w:hanging="0"/>
              <w:jc w:val="left"/>
              <w:rPr/>
            </w:pPr>
            <w:r>
              <w:rPr/>
              <w:t>​</w:t>
            </w:r>
          </w:p>
        </w:tc>
        <w:tc>
          <w:tcPr>
            <w:tcW w:w="4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116</w:t>
            </w:r>
          </w:p>
        </w:tc>
        <w:tc>
          <w:tcPr>
            <w:tcW w:w="109" w:type="dxa"/>
            <w:tcBorders/>
            <w:shd w:fill="CCEEFF" w:val="clear"/>
            <w:vAlign w:val="center"/>
          </w:tcPr>
          <w:p>
            <w:pPr>
              <w:pStyle w:val="TableContents"/>
              <w:bidi w:val="0"/>
              <w:spacing w:before="0" w:after="1"/>
              <w:ind w:left="0" w:right="0" w:hanging="0"/>
              <w:jc w:val="center"/>
              <w:rPr/>
            </w:pPr>
            <w:r>
              <w:rPr/>
              <w:t>​</w:t>
            </w:r>
          </w:p>
        </w:tc>
        <w:tc>
          <w:tcPr>
            <w:tcW w:w="4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32"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657</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773</w:t>
            </w:r>
          </w:p>
        </w:tc>
      </w:tr>
    </w:tbl>
    <w:p>
      <w:pPr>
        <w:pStyle w:val="TextBody"/>
        <w:bidi w:val="0"/>
        <w:spacing w:before="0" w:after="240"/>
        <w:ind w:left="0" w:right="0" w:hanging="0"/>
        <w:jc w:val="both"/>
        <w:rPr/>
      </w:pPr>
      <w:r>
        <w:rPr/>
        <w:t>​</w:t>
      </w:r>
    </w:p>
    <w:p>
      <w:pPr>
        <w:pStyle w:val="TextBody"/>
        <w:bidi w:val="0"/>
        <w:spacing w:before="0" w:after="120"/>
        <w:ind w:left="0" w:right="144" w:hanging="0"/>
        <w:jc w:val="both"/>
        <w:rPr>
          <w:rFonts w:ascii="Times New Roman;Times;serif" w:hAnsi="Times New Roman;Times;serif"/>
          <w:sz w:val="20"/>
        </w:rPr>
      </w:pPr>
      <w:r>
        <w:rPr>
          <w:rFonts w:ascii="Times New Roman;Times;serif" w:hAnsi="Times New Roman;Times;serif"/>
          <w:sz w:val="20"/>
        </w:rPr>
        <w:t xml:space="preserve">The allowances for chargebacks, fees due to customers, rebates and discounts for prompt payment are recorded as a contra-asset to accounts receivable, while Medicaid rebates and return allowances are in accrued liabilities in the accompanying condensed consolidated balance </w:t>
      </w:r>
      <w:r>
        <w:rPr>
          <w:rFonts w:ascii="Times New Roman;Times;serif" w:hAnsi="Times New Roman;Times;serif"/>
          <w:spacing w:val="-2"/>
          <w:sz w:val="20"/>
        </w:rPr>
        <w:t>sheets.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143" w:hanging="0"/>
        <w:jc w:val="both"/>
        <w:rPr>
          <w:rFonts w:ascii="Times New Roman;Times;serif" w:hAnsi="Times New Roman;Times;serif"/>
          <w:b/>
          <w:spacing w:val="-2"/>
          <w:sz w:val="20"/>
        </w:rPr>
      </w:pPr>
      <w:r>
        <w:rPr>
          <w:rFonts w:ascii="Times New Roman;Times;serif" w:hAnsi="Times New Roman;Times;serif"/>
          <w:b/>
          <w:spacing w:val="-2"/>
          <w:sz w:val="20"/>
        </w:rPr>
        <w:t>Trade Receivables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records gross trade</w:t>
      </w:r>
      <w:r>
        <w:rPr>
          <w:rFonts w:ascii="Times New Roman;Times;serif" w:hAnsi="Times New Roman;Times;serif"/>
          <w:spacing w:val="40"/>
          <w:sz w:val="20"/>
        </w:rPr>
        <w:t xml:space="preserve"> </w:t>
      </w:r>
      <w:r>
        <w:rPr>
          <w:rFonts w:ascii="Times New Roman;Times;serif" w:hAnsi="Times New Roman;Times;serif"/>
          <w:sz w:val="20"/>
        </w:rPr>
        <w:t>receivables at the time of product sale to its customers. Trade accounts receivable are recorded at the invoiced amount and are typically non-interest bearing. Amounts estimated for the associated</w:t>
      </w:r>
      <w:r>
        <w:rPr>
          <w:rFonts w:ascii="Times New Roman;Times;serif" w:hAnsi="Times New Roman;Times;serif"/>
          <w:spacing w:val="40"/>
          <w:sz w:val="20"/>
        </w:rPr>
        <w:t xml:space="preserve"> </w:t>
      </w:r>
      <w:r>
        <w:rPr>
          <w:rFonts w:ascii="Times New Roman;Times;serif" w:hAnsi="Times New Roman;Times;serif"/>
          <w:sz w:val="20"/>
        </w:rPr>
        <w:t>chargebacks,</w:t>
      </w:r>
      <w:r>
        <w:rPr>
          <w:rFonts w:ascii="Times New Roman;Times;serif" w:hAnsi="Times New Roman;Times;serif"/>
          <w:spacing w:val="40"/>
          <w:sz w:val="20"/>
        </w:rPr>
        <w:t xml:space="preserve"> </w:t>
      </w:r>
      <w:r>
        <w:rPr>
          <w:rFonts w:ascii="Times New Roman;Times;serif" w:hAnsi="Times New Roman;Times;serif"/>
          <w:sz w:val="20"/>
        </w:rPr>
        <w:t>cash</w:t>
      </w:r>
      <w:r>
        <w:rPr>
          <w:rFonts w:ascii="Times New Roman;Times;serif" w:hAnsi="Times New Roman;Times;serif"/>
          <w:spacing w:val="40"/>
          <w:sz w:val="20"/>
        </w:rPr>
        <w:t xml:space="preserve"> </w:t>
      </w:r>
      <w:r>
        <w:rPr>
          <w:rFonts w:ascii="Times New Roman;Times;serif" w:hAnsi="Times New Roman;Times;serif"/>
          <w:sz w:val="20"/>
        </w:rPr>
        <w:t>discounts</w:t>
      </w:r>
      <w:r>
        <w:rPr>
          <w:rFonts w:ascii="Times New Roman;Times;serif" w:hAnsi="Times New Roman;Times;serif"/>
          <w:spacing w:val="40"/>
          <w:sz w:val="20"/>
        </w:rPr>
        <w:t xml:space="preserve"> </w:t>
      </w:r>
      <w:r>
        <w:rPr>
          <w:rFonts w:ascii="Times New Roman;Times;serif" w:hAnsi="Times New Roman;Times;serif"/>
          <w:sz w:val="20"/>
        </w:rPr>
        <w:t>for</w:t>
      </w:r>
      <w:r>
        <w:rPr>
          <w:rFonts w:ascii="Times New Roman;Times;serif" w:hAnsi="Times New Roman;Times;serif"/>
          <w:spacing w:val="40"/>
          <w:sz w:val="20"/>
        </w:rPr>
        <w:t xml:space="preserve"> </w:t>
      </w:r>
      <w:r>
        <w:rPr>
          <w:rFonts w:ascii="Times New Roman;Times;serif" w:hAnsi="Times New Roman;Times;serif"/>
          <w:sz w:val="20"/>
        </w:rPr>
        <w:t>prompt</w:t>
      </w:r>
      <w:r>
        <w:rPr>
          <w:rFonts w:ascii="Times New Roman;Times;serif" w:hAnsi="Times New Roman;Times;serif"/>
          <w:spacing w:val="40"/>
          <w:sz w:val="20"/>
        </w:rPr>
        <w:t xml:space="preserve"> </w:t>
      </w:r>
      <w:r>
        <w:rPr>
          <w:rFonts w:ascii="Times New Roman;Times;serif" w:hAnsi="Times New Roman;Times;serif"/>
          <w:sz w:val="20"/>
        </w:rPr>
        <w:t>payment</w:t>
      </w:r>
      <w:r>
        <w:rPr>
          <w:rFonts w:ascii="Times New Roman;Times;serif" w:hAnsi="Times New Roman;Times;serif"/>
          <w:spacing w:val="40"/>
          <w:sz w:val="20"/>
        </w:rPr>
        <w:t xml:space="preserve"> </w:t>
      </w:r>
      <w:r>
        <w:rPr>
          <w:rFonts w:ascii="Times New Roman;Times;serif" w:hAnsi="Times New Roman;Times;serif"/>
          <w:sz w:val="20"/>
        </w:rPr>
        <w:t>and</w:t>
      </w:r>
      <w:r>
        <w:rPr>
          <w:rFonts w:ascii="Times New Roman;Times;serif" w:hAnsi="Times New Roman;Times;serif"/>
          <w:spacing w:val="40"/>
          <w:sz w:val="20"/>
        </w:rPr>
        <w:t xml:space="preserve"> </w:t>
      </w:r>
      <w:r>
        <w:rPr>
          <w:rFonts w:ascii="Times New Roman;Times;serif" w:hAnsi="Times New Roman;Times;serif"/>
          <w:sz w:val="20"/>
        </w:rPr>
        <w:t>any</w:t>
      </w:r>
      <w:r>
        <w:rPr>
          <w:rFonts w:ascii="Times New Roman;Times;serif" w:hAnsi="Times New Roman;Times;serif"/>
          <w:spacing w:val="40"/>
          <w:sz w:val="20"/>
        </w:rPr>
        <w:t xml:space="preserve"> </w:t>
      </w:r>
      <w:r>
        <w:rPr>
          <w:rFonts w:ascii="Times New Roman;Times;serif" w:hAnsi="Times New Roman;Times;serif"/>
          <w:sz w:val="20"/>
        </w:rPr>
        <w:t>allowances</w:t>
      </w:r>
      <w:r>
        <w:rPr>
          <w:rFonts w:ascii="Times New Roman;Times;serif" w:hAnsi="Times New Roman;Times;serif"/>
          <w:spacing w:val="40"/>
          <w:sz w:val="20"/>
        </w:rPr>
        <w:t xml:space="preserve"> </w:t>
      </w:r>
      <w:r>
        <w:rPr>
          <w:rFonts w:ascii="Times New Roman;Times;serif" w:hAnsi="Times New Roman;Times;serif"/>
          <w:sz w:val="20"/>
        </w:rPr>
        <w:t>for</w:t>
      </w:r>
      <w:r>
        <w:rPr>
          <w:rFonts w:ascii="Times New Roman;Times;serif" w:hAnsi="Times New Roman;Times;serif"/>
          <w:spacing w:val="40"/>
          <w:sz w:val="20"/>
        </w:rPr>
        <w:t xml:space="preserve"> </w:t>
      </w:r>
      <w:r>
        <w:rPr>
          <w:rFonts w:ascii="Times New Roman;Times;serif" w:hAnsi="Times New Roman;Times;serif"/>
          <w:sz w:val="20"/>
        </w:rPr>
        <w:t>credit</w:t>
      </w:r>
      <w:r>
        <w:rPr>
          <w:rFonts w:ascii="Times New Roman;Times;serif" w:hAnsi="Times New Roman;Times;serif"/>
          <w:spacing w:val="40"/>
          <w:sz w:val="20"/>
        </w:rPr>
        <w:t xml:space="preserve"> </w:t>
      </w:r>
      <w:r>
        <w:rPr>
          <w:rFonts w:ascii="Times New Roman;Times;serif" w:hAnsi="Times New Roman;Times;serif"/>
          <w:sz w:val="20"/>
        </w:rPr>
        <w:t>losses are booked as a reserve against accounts receivable and reduction of revenue.</w:t>
      </w:r>
      <w:r>
        <w:rPr>
          <w:rFonts w:ascii="Times New Roman;Times;serif" w:hAnsi="Times New Roman;Times;serif"/>
          <w:spacing w:val="40"/>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Company determines its allowance methodology by pooling receivable balances at the customer level. The Company considers various factors, including loss history, individual credit risk associated with each customer, and the current and future condition of the general economy. These credit risk factors are monitored on a quarterly basis and updated as necessary. To the extent that any individual debtor is identified whose credit quality has deteriorated, the Company establishes allowances based on the individual risk characteristics of such a customer. For customers that are large specialty distributors, the Company considered the risk of potential credit losses to be low. Sales to other select global distributors have an increased potential for losses. The Company evaluates the risk of credit losses on sales on an individual basis using the above-mentioned criteria. Accounts receivable that are expected to be received past 12 months are recorded as non-current accounts receivable. The Company has determined any financing component of non-current receivables to be immaterial. The Company had a balance in allowance for credit losses of $6,273 as of June 30, 2026.</w:t>
      </w:r>
    </w:p>
    <w:p>
      <w:pPr>
        <w:pStyle w:val="TextBody"/>
        <w:bidi w:val="0"/>
        <w:spacing w:before="0" w:after="0"/>
        <w:ind w:left="0" w:right="0" w:hanging="0"/>
        <w:jc w:val="both"/>
        <w:rPr/>
      </w:pPr>
      <w:r>
        <w:rPr/>
        <w:t>​</w:t>
      </w:r>
    </w:p>
    <w:p>
      <w:pPr>
        <w:pStyle w:val="TextBody"/>
        <w:bidi w:val="0"/>
        <w:spacing w:before="82" w:after="240"/>
        <w:ind w:left="0" w:right="144" w:hanging="0"/>
        <w:jc w:val="both"/>
        <w:rPr>
          <w:rFonts w:ascii="Times New Roman;Times;serif" w:hAnsi="Times New Roman;Times;serif"/>
          <w:b/>
          <w:sz w:val="20"/>
        </w:rPr>
      </w:pPr>
      <w:r>
        <w:rPr>
          <w:rFonts w:ascii="Times New Roman;Times;serif" w:hAnsi="Times New Roman;Times;serif"/>
          <w:b/>
          <w:sz w:val="20"/>
        </w:rPr>
        <w:t>Cost of Products Sold</w:t>
      </w:r>
    </w:p>
    <w:p>
      <w:pPr>
        <w:pStyle w:val="TextBody"/>
        <w:bidi w:val="0"/>
        <w:spacing w:lineRule="auto" w:line="240" w:before="119" w:after="240"/>
        <w:ind w:left="0" w:right="144" w:hanging="0"/>
        <w:jc w:val="both"/>
        <w:rPr>
          <w:rFonts w:ascii="Times New Roman;Times;serif" w:hAnsi="Times New Roman;Times;serif"/>
          <w:sz w:val="20"/>
        </w:rPr>
      </w:pPr>
      <w:r>
        <w:rPr>
          <w:rFonts w:ascii="Times New Roman;Times;serif" w:hAnsi="Times New Roman;Times;serif"/>
          <w:sz w:val="20"/>
        </w:rPr>
        <w:t>Cost of products sold is related to the Company's product revenues for PEDMARK</w:t>
      </w:r>
      <w:r>
        <w:rPr>
          <w:rFonts w:ascii="Times New Roman;Times;serif" w:hAnsi="Times New Roman;Times;serif"/>
          <w:sz w:val="15"/>
        </w:rPr>
        <w:t>®</w:t>
      </w:r>
      <w:r>
        <w:rPr>
          <w:rFonts w:ascii="Times New Roman;Times;serif" w:hAnsi="Times New Roman;Times;serif"/>
          <w:sz w:val="20"/>
        </w:rPr>
        <w:t xml:space="preserve"> and consists primarily of product production costs associated with finished goods inventory. Cost of products sold also consists of shipping and other third-party logistics and distribution costs for the Company’s product. As of June 30, 2026, the Company capitalized approximately $2,374 of costs as inventory on the condensed consolidated balance sheet. Of the items capitalized, $1,157 was capitalized as raw materials, $998 was capitalized as work in process, $219 was capitalized into finished goods.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Cash and Cash Equivalents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Cash equivalents consist of highly liquid investments with original maturities at the date of purchase of three months or less.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places its cash and cash equivalents in investments held by highly rated financial institutions in accordance with its investment policy designed to protect the principal investment. At June 30, 2026, the Company had $41,249 in cash, savings and money market accounts ($36,788 at December 31, 2025). While the Company has not experienced any loss or write-down of its money market investments, the amounts it holds in money market accounts are substantially above the $250 amount insured by the FDIC and may lose value.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Financial instruments recognized on the balance sheets at June 30, 2026 and December 31, 2025, consist of cash and cash equivalents, accounts receivable, accounts payable and accrued liabilities, the carrying values of which approximate fair value due to their relatively short time to maturity or variable interest rates that approximate market interest rates. The Company does not hold or issue financial instruments for trading.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investment policy is to manage investments to achieve, in the order of importance, the financial objectives of preservation of principal, liquidity and return on investment. Investments, when made, are made in U.S. or Canadian bank securities, commercial paper of U.S. or Canadian industrial companies, utilities, financial institutions and consumer loan companies, and securities of foreign banks provided the obligations are guaranteed or carry ratings appropriate to the policy. Securities must have a minimum Dun &amp; Bradstreet rating of A for bonds or R1 low for commercial paper.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policy risks are primarily the opportunity cost of the conservative nature of the allowable investments. The Company has chosen to avoid investments of a trading or speculative nature to preserve cash.</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Research and Development Costs and Investment Tax Credits</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Research costs, including employee compensation, laboratory fees, lab supplies, and research and testing performed under contract by third parties, are expensed as incurred. Development costs, including drug substance costs, clinical study expenses and regulatory expenses are expensed as incurred.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conducts certain research and development activities under clinical trial and other research agreements with third parties and records expenses for these activities based on estimates of the work performed during the reporting period. In developing these estimates, the Company considers factors such as the terms of the underlying contracts, progress of patient visits and related clinical procedures, the achievement of contractual milestones, and data received from CROs and other service providers, and adjusts accruals as actual information becomes available.</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Investment tax credits, which are earned as a result of qualifying research and development expenditures, are recognized when the expenditures are made and their realization is reasonably assured. They are applied to reduce related capital costs and research and development expenses in the year recognized.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Concentrations of Credit Risk</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Financial instruments that potentially subject the Company to credit risk primarily consist of cash and cash equivalents, and accounts receivable. The Company maintains deposits in highly rated, federally-insured financial institutions in excess of federally insured limits. The Company’s investment strategy is focused on capital preservation. The Company invests in instruments that meet the high credit quality standards outlined in the Company’s investment policy. This policy also limits the amount of credit exposure to any one issue or type of instrument.</w:t>
      </w:r>
    </w:p>
    <w:p>
      <w:pPr>
        <w:pStyle w:val="TextBody"/>
        <w:bidi w:val="0"/>
        <w:spacing w:lineRule="auto" w:line="240" w:before="0" w:after="240"/>
        <w:ind w:left="0" w:right="0" w:hanging="0"/>
        <w:jc w:val="both"/>
        <w:rPr>
          <w:rFonts w:ascii="Times New Roman;Times;serif" w:hAnsi="Times New Roman;Times;serif"/>
          <w:b/>
          <w:sz w:val="20"/>
        </w:rPr>
      </w:pPr>
      <w:r>
        <w:rPr>
          <w:rFonts w:ascii="Times New Roman;Times;serif" w:hAnsi="Times New Roman;Times;serif"/>
          <w:b w:val="false"/>
          <w:sz w:val="20"/>
        </w:rPr>
        <w:t>The Company’s trade receivables includes amounts billed to customers for product sales of PEDMARK</w:t>
      </w:r>
      <w:r>
        <w:rPr>
          <w:rFonts w:ascii="Times New Roman;Times;serif" w:hAnsi="Times New Roman;Times;serif"/>
          <w:b/>
          <w:sz w:val="15"/>
        </w:rPr>
        <w:t>®</w:t>
      </w:r>
      <w:r>
        <w:rPr>
          <w:rFonts w:ascii="Times New Roman;Times;serif" w:hAnsi="Times New Roman;Times;serif"/>
          <w:b w:val="false"/>
          <w:sz w:val="20"/>
        </w:rPr>
        <w:t>. In the U.S., the customers are a limited group of specialty distributors, and direct customers, and accordingly, the Company considers the risk of potential credit losses to be low. The Company also sells to a select group of global distributors. These global distributors are established companies and although the Company regards credit losses with these distributors to be low, it does recognize the potential for credit losses with this group.</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accounts for income taxes using the asset and liability method to compute the differences between the tax basis of assets and liabilities and the related financial amounts, using currently enacted tax rates. The Company has deferred tax assets, which are subject to periodic recoverability assessments. Valuation allowances are established, when necessary, to reduce deferred tax assets to the amount that more likely than not will be realized.  As of June 30, 2026, we maintained a full valuation allowance against our deferred tax assets.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provisions of the Financial Accounting Standards Board (“FASB”) ASC 740-10, Uncertainty in Income Taxes, address the determination of whether tax benefits claimed or expected to be claimed on a tax return should be recorded in the financial statements. Under ASC 740-10, the Company may recognize the tax benefit from an uncertain tax position only if it is more likely than not that the tax position will be sustained on examination by taxing authorities, based on the technical merits of the position.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Foreign Currency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U.S. dollar is the functional currency for the Company’s consolidated operations. All gains and losses from currency transactions are included in the results of operations.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Income/(Loss) Per Share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Basic net income/(loss) per share is computed by dividing net income/(loss) by the weighted average number of common shares outstanding during the year. Diluted net income/(loss) per share is computed using the same method, except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weighted average number of common shares outstanding includes convertible debentures, stock options and warrants, if dilutive, as determined using the if-converted method and treasury methods.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Reclassifications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Certain prior period amounts in the accompanying condensed consolidated financial statements have been reclassified to conform to the current period presentation. Specifically, certain equity-based compensation costs previously classified within general and administrative expenses have been reclassified to selling and marketing expenses. These reclassifications had no effect on previously reported net loss or stockholders' equity.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Recent Accounting Pronouncements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2024, the FASB issued ASU 2024-03, Income Statement—Reporting Comprehensive Income—Expense Disaggregation Disclosures (Subtopic 220-40): Disaggregation of Income Statement Expenses. The amendments require public business entities to provide additional disaggregated disclosures in the notes to the financial statements for certain income statement expense captions, including specified natural expense categories and selling expenses. The amendments are effective for annual reporting periods beginning after December 15, 2026, and interim reporting periods within annual reporting periods beginning after December 15, 2027. Accordingly, the amendments will be effective for the Company’s annual report for the year ending December 31, 2027 and its interim period ending March 31, 2028. The Company is currently evaluating the impact of the new disclosure requirements and expects adoption to have a significant impact on the level of expense disaggregation included in its financial statement footnotes; however, the amendments are not expected to affect the Company’s consolidated financial statements, results of operations, or cash flows.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July 2025, the Financial Accounting Standards Board (“FASB”) issued Accounting Standards Update (“ASU”) 2025-05, Financial Instruments—Credit Losses (Topic 326): Measurement of Credit Losses for Accounts Receivable and Contract Assets. This ASU introduces optional practical expedients intended to simplify the estimation of expected credit losses for current accounts receivable and current contract assets arising from transactions accounted for under Topic 606, Revenue from Contracts with Customers. The amendments in ASU 2025-05 are intended to reduce complexity in applying the current expected credit loss model to short-term receivables and contract assets while maintaining decision-useful information for financial statement users. The Company adopted this amended standard in the first quarter of 2026 and such adoption did not have a material impact on its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2025, the FASB issued ASU 2025-11, Interim Reporting (Topic 270): Improvements to Interim Reporting. This ASU clarifies the applicability of interim reporting guidance, improves the navigability of Topic 270, identifies interim disclosure requirements included in other Topics of the Accounting Standards Codification, and establishes a principle requiring disclosure of events since the end of the last annual reporting period that have a material impact on an entity. The amendments in ASU 2025-11 are not intended to fundamentally expand or reduce existing interim disclosure requirements, but rather to improve clarity and consistency in the application of interim reporting guidance. The amendments are effective for annual reporting periods beginning after December 15, 2027, and interim reporting periods within those annual reporting periods, with early adoption permitted. Accordingly, the amendments will be effective for the Company beginning with its interim period ending March 31, 2028. The Company is currently assessing the effect of this guidance on its interim disclosures and presentation. The Company does not currently expect the adoption of this standard to have a material impact on its condensed consolidated financial statements other than potential additional or clarified interim disclosure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2025, the FASB issued ASU 2025-12, Codification Improvements. ASU 2025-12 includes technical corrections, clarifications, and other minor improvements to various Topics within the Accounting Standards Codification. The Company is currently evaluating the effect of this guidance on its consolidated financial statements and related disclosures. The Company does not expect the adoption of this standard to have a material impact on its condensed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than the pronouncements discussed above, the Company reviewed other recently issued accounting standards and concluded that they are either not applicable to its business or are not expected to have a material impact on its condensed consolidated financial statements or related disclosures.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674" w:name="Tc_aU1x_9qdv0uTyCoRiHeNFg_8_0"/>
      <w:bookmarkStart w:id="675" w:name="Tc_svUDs9XdBEqvllNlYjrOuA_7_0"/>
      <w:bookmarkStart w:id="676" w:name="Tc_spyq1w-teUukIFUcyxl2fg_6_0"/>
      <w:bookmarkStart w:id="677" w:name="Tc_slUVlSFtIUuCYcfMwxPVfA_5_0"/>
      <w:bookmarkStart w:id="678" w:name="Tc_M3mnL994IUezOXSH-az8aQ_4_0"/>
      <w:bookmarkStart w:id="679" w:name="Tc_dSPSBKu8jU2Cc6UyEzb2-Q_3_7"/>
      <w:bookmarkStart w:id="680" w:name="Tc_rTdochnlF0CVrmV0ug7m6A_3_5"/>
      <w:bookmarkStart w:id="681" w:name="Tc_syU5k8aH80CjeKQNMNzSNw_3_3"/>
      <w:bookmarkStart w:id="682" w:name="Tc_fqIZRUMNJ02npd01UpYScw_3_1"/>
      <w:bookmarkStart w:id="683" w:name="Tc_r2CEmUy8nEiZzzgdTO_MhA_2_5"/>
      <w:bookmarkStart w:id="684" w:name="Tc_5vsdXKKCJkaZXtUF1ryQEQ_2_1"/>
      <w:bookmarkStart w:id="685" w:name="Tc_ES-dUPckOkWsh8nM8hWrbA_1_5"/>
      <w:bookmarkStart w:id="686" w:name="Tc_Gv4CK8uhj02Fs_USiKNzlg_1_1"/>
      <w:bookmarkStart w:id="687" w:name="Tc_QON_fXDhtU6H7KV4aczZBQ_13_11"/>
      <w:bookmarkStart w:id="688" w:name="Tc_EBOknvFgjE2tRroAcaCK0A_13_8"/>
      <w:bookmarkStart w:id="689" w:name="Tc_3G6X7TZNs0-J_3sDJblSfQ_13_5"/>
      <w:bookmarkStart w:id="690" w:name="Tc_N68ZqKuPFEulU-aQhct9xA_13_2"/>
      <w:bookmarkStart w:id="691" w:name="Tc_1jBVJoKfjUqlpFs0xvKTHQ_13_0"/>
      <w:bookmarkStart w:id="692" w:name="Tc_zmuAubcgZ0iW2djP0mk-cg_12_0"/>
      <w:bookmarkStart w:id="693" w:name="Tc_dLDatXGuAUCmYm3SPyDRHQ_11_12"/>
      <w:bookmarkStart w:id="694" w:name="Tc_Ss8XXr9VqkCGDOSeLjXt4A_11_6"/>
      <w:bookmarkStart w:id="695" w:name="Tc_THG1nx5_p0GGYXBZTcKaZg_11_0"/>
      <w:bookmarkStart w:id="696" w:name="Tc_BGtjDdul4kGJmw9TpAXpOA_10_12"/>
      <w:bookmarkStart w:id="697" w:name="Tc_KgHk1qTAZUSE4FeoCA0HIw_10_9"/>
      <w:bookmarkStart w:id="698" w:name="Tc_oMdEcgRvbU2iYAu7acbqVw_10_6"/>
      <w:bookmarkStart w:id="699" w:name="Tc_7AtqrXRhtUiSDluvQwgK-A_10_0"/>
      <w:bookmarkStart w:id="700" w:name="Tc_OmcmQam5FUm7F5QgzeHPRg_9_12"/>
      <w:bookmarkStart w:id="701" w:name="Tc_Eii3qRWeREq7vNOexX5tBg_9_6"/>
      <w:bookmarkStart w:id="702" w:name="Tc_OJ3BamI3MEa-RC46H0YjZg_9_0"/>
      <w:bookmarkStart w:id="703" w:name="Tc_Ptv4q1N6tkiNtSqm3XehLw_8_12"/>
      <w:bookmarkStart w:id="704" w:name="Tc_Fs-CnV4EfEm5MEbUoTUmXg_8_6"/>
      <w:bookmarkStart w:id="705" w:name="Tc_jQw2-RcPv0uh45jGAK12tw_8_0"/>
      <w:bookmarkStart w:id="706" w:name="Tc_fjj2AS9EB0WGi2aoBcRziw_7_0"/>
      <w:bookmarkStart w:id="707" w:name="Tc_pDXdHgjau0awxQ14MLbKrg_6_0"/>
      <w:bookmarkStart w:id="708" w:name="Tc_P8s5KSYpE069eJYzXAp5lQ_4_11"/>
      <w:bookmarkStart w:id="709" w:name="Tc_nPWC-29230-2bWRrQh6kWQ_4_8"/>
      <w:bookmarkStart w:id="710" w:name="Tc_HDpvcTeK0UWfB7hKBZAbxA_4_5"/>
      <w:bookmarkStart w:id="711" w:name="Tc_tZeps_5-10Wf77fixSsuww_4_2"/>
      <w:bookmarkStart w:id="712" w:name="Tc_kR0rcdPZr0CIhmPEp3bgLw_4_0"/>
      <w:bookmarkStart w:id="713" w:name="Tc_t7-gJM6vB0mk4zT6FHrufg_3_0"/>
      <w:bookmarkStart w:id="714" w:name="Tc_H5IvmRly0E-ydQ68Gw9SdA_2_11"/>
      <w:bookmarkStart w:id="715" w:name="Tc_x55kPzCD20uycKtOPJ7Saw_2_8"/>
      <w:bookmarkStart w:id="716" w:name="Tc_H3_DVX_2YU2YyxGpo-VGaA_2_5"/>
      <w:bookmarkStart w:id="717" w:name="Tc_KK55o_9FxES8RsdDkrT8uw_2_2"/>
      <w:bookmarkStart w:id="718" w:name="Tc_9-iZBW3O702jvl0PpsbZAQ_1_8"/>
      <w:bookmarkStart w:id="719" w:name="Tc_FdaaLQE0H0SDFaCSrcMWWg_1_2"/>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r>
        <w:rPr>
          <w:rFonts w:ascii="Times New Roman;Times;serif" w:hAnsi="Times New Roman;Times;serif"/>
          <w:b/>
          <w:sz w:val="20"/>
        </w:rPr>
        <w:t>3. Income/(Loss) Per Share</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income/(loss) per common share is presented under two formats: basic net income/(loss) per common share and diluted income/(loss) per common share. Basic net income/(loss) per common share is computed by dividing net income/(loss) attributable to common shareholders by the weighted average number of common shares outstanding during the period. Diluted income/(loss) per common share is computed by dividing net income/(loss) by the weighted average number of common shares outstanding during the period, plus the potentially dilutive impact of common shares equivalents (e.g. convertible debt, stock options and warrants). Dilutive common share equivalents consist of the incremental common shares issuable upon exercise of convertible debt, restricted share units, stock options and warrants. The following table sets forth the computation of basic and diluted net income/(loss) per share (in thousands except per share data):</w:t>
      </w:r>
    </w:p>
    <w:p>
      <w:pPr>
        <w:pStyle w:val="TextBody"/>
        <w:bidi w:val="0"/>
        <w:spacing w:before="0" w:after="240"/>
        <w:ind w:left="0" w:right="0" w:hanging="0"/>
        <w:jc w:val="both"/>
        <w:rPr/>
      </w:pPr>
      <w:r>
        <w:rPr/>
        <w:t>​</w:t>
      </w:r>
    </w:p>
    <w:tbl>
      <w:tblPr>
        <w:tblW w:w="8751" w:type="dxa"/>
        <w:jc w:val="left"/>
        <w:tblInd w:w="0" w:type="dxa"/>
        <w:tblLayout w:type="fixed"/>
        <w:tblCellMar>
          <w:top w:w="0" w:type="dxa"/>
          <w:left w:w="0" w:type="dxa"/>
          <w:bottom w:w="0" w:type="dxa"/>
          <w:right w:w="0" w:type="dxa"/>
        </w:tblCellMar>
      </w:tblPr>
      <w:tblGrid>
        <w:gridCol w:w="3571"/>
        <w:gridCol w:w="346"/>
        <w:gridCol w:w="228"/>
        <w:gridCol w:w="731"/>
        <w:gridCol w:w="374"/>
        <w:gridCol w:w="228"/>
        <w:gridCol w:w="747"/>
        <w:gridCol w:w="346"/>
        <w:gridCol w:w="211"/>
        <w:gridCol w:w="676"/>
        <w:gridCol w:w="346"/>
        <w:gridCol w:w="211"/>
        <w:gridCol w:w="736"/>
      </w:tblGrid>
      <w:tr>
        <w:trPr/>
        <w:tc>
          <w:tcPr>
            <w:tcW w:w="3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44780" cy="175260"/>
                      <wp:effectExtent l="0" t="0" r="0" b="0"/>
                      <wp:wrapNone/>
                      <wp:docPr id="75" name="Frame75"/>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64185" cy="175260"/>
                      <wp:effectExtent l="0" t="0" r="0" b="0"/>
                      <wp:wrapNone/>
                      <wp:docPr id="76" name="Frame76"/>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37490" cy="175260"/>
                      <wp:effectExtent l="0" t="0" r="0" b="0"/>
                      <wp:wrapNone/>
                      <wp:docPr id="77" name="Frame77"/>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44780" cy="175260"/>
                      <wp:effectExtent l="0" t="0" r="0" b="0"/>
                      <wp:wrapNone/>
                      <wp:docPr id="78" name="Frame7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74345" cy="175260"/>
                      <wp:effectExtent l="0" t="0" r="0" b="0"/>
                      <wp:wrapNone/>
                      <wp:docPr id="79" name="Frame79"/>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0"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1" name="Frame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29260" cy="175260"/>
                      <wp:effectExtent l="0" t="0" r="0" b="0"/>
                      <wp:wrapNone/>
                      <wp:docPr id="82" name="Frame8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260"/>
                      <wp:effectExtent l="0" t="0" r="0" b="0"/>
                      <wp:wrapNone/>
                      <wp:docPr id="84" name="Frame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67360" cy="175260"/>
                      <wp:effectExtent l="0" t="0" r="0" b="0"/>
                      <wp:wrapNone/>
                      <wp:docPr id="85" name="Frame8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1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4" w:type="dxa"/>
            <w:tcBorders/>
            <w:vAlign w:val="center"/>
          </w:tcPr>
          <w:p>
            <w:pPr>
              <w:pStyle w:val="TableContents"/>
              <w:bidi w:val="0"/>
              <w:spacing w:before="0" w:after="0"/>
              <w:ind w:left="0" w:right="0" w:hanging="0"/>
              <w:jc w:val="left"/>
              <w:rPr/>
            </w:pPr>
            <w:r>
              <w:rPr/>
              <w:t>  ​ ​ ​</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31" w:type="dxa"/>
            <w:tcBorders/>
            <w:shd w:fill="CCEEFF" w:val="clear"/>
            <w:vAlign w:val="center"/>
          </w:tcPr>
          <w:p>
            <w:pPr>
              <w:pStyle w:val="TableContents"/>
              <w:bidi w:val="0"/>
              <w:spacing w:before="0" w:after="0"/>
              <w:ind w:left="0" w:right="0" w:hanging="0"/>
              <w:jc w:val="right"/>
              <w:rPr/>
            </w:pPr>
            <w:r>
              <w:rPr/>
              <w:t>  ​</w:t>
            </w:r>
          </w:p>
        </w:tc>
        <w:tc>
          <w:tcPr>
            <w:tcW w:w="374"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income/(loss)</w:t>
            </w:r>
          </w:p>
        </w:tc>
        <w:tc>
          <w:tcPr>
            <w:tcW w:w="346" w:type="dxa"/>
            <w:tcBorders/>
            <w:vAlign w:val="center"/>
          </w:tcPr>
          <w:p>
            <w:pPr>
              <w:pStyle w:val="TableContents"/>
              <w:bidi w:val="0"/>
              <w:spacing w:before="0" w:after="0"/>
              <w:ind w:left="0" w:right="0" w:hanging="0"/>
              <w:jc w:val="righ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1,973</w:t>
            </w:r>
          </w:p>
        </w:tc>
        <w:tc>
          <w:tcPr>
            <w:tcW w:w="374" w:type="dxa"/>
            <w:tcBorders/>
            <w:vAlign w:val="center"/>
          </w:tcPr>
          <w:p>
            <w:pPr>
              <w:pStyle w:val="TableContents"/>
              <w:bidi w:val="0"/>
              <w:spacing w:before="0" w:after="0"/>
              <w:ind w:left="0" w:right="0" w:hanging="0"/>
              <w:jc w:val="righ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(3,152)</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2,174</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(4,317)</w:t>
            </w:r>
          </w:p>
        </w:tc>
      </w:tr>
      <w:tr>
        <w:trPr/>
        <w:tc>
          <w:tcPr>
            <w:tcW w:w="3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28" w:type="dxa"/>
            <w:tcBorders/>
            <w:shd w:fill="CCEEFF" w:val="clear"/>
            <w:vAlign w:val="center"/>
          </w:tcPr>
          <w:p>
            <w:pPr>
              <w:pStyle w:val="TableContents"/>
              <w:bidi w:val="0"/>
              <w:spacing w:before="0" w:after="0"/>
              <w:ind w:left="0" w:right="0" w:hanging="0"/>
              <w:jc w:val="right"/>
              <w:rPr/>
            </w:pPr>
            <w:r>
              <w:rPr/>
              <w:t>​</w:t>
            </w:r>
          </w:p>
        </w:tc>
        <w:tc>
          <w:tcPr>
            <w:tcW w:w="731" w:type="dxa"/>
            <w:tcBorders/>
            <w:shd w:fill="CCEEFF" w:val="clear"/>
            <w:vAlign w:val="center"/>
          </w:tcPr>
          <w:p>
            <w:pPr>
              <w:pStyle w:val="TableContents"/>
              <w:bidi w:val="0"/>
              <w:spacing w:before="0" w:after="0"/>
              <w:ind w:left="0" w:right="0" w:hanging="0"/>
              <w:jc w:val="right"/>
              <w:rPr/>
            </w:pPr>
            <w:r>
              <w:rPr/>
              <w:t>​</w:t>
            </w:r>
          </w:p>
        </w:tc>
        <w:tc>
          <w:tcPr>
            <w:tcW w:w="374" w:type="dxa"/>
            <w:tcBorders/>
            <w:shd w:fill="CCEEFF" w:val="clear"/>
            <w:vAlign w:val="center"/>
          </w:tcPr>
          <w:p>
            <w:pPr>
              <w:pStyle w:val="TableContents"/>
              <w:bidi w:val="0"/>
              <w:spacing w:before="0" w:after="0"/>
              <w:ind w:left="0" w:right="0" w:hanging="0"/>
              <w:jc w:val="right"/>
              <w:rPr/>
            </w:pPr>
            <w:r>
              <w:rPr/>
              <w:t>​</w:t>
            </w:r>
          </w:p>
        </w:tc>
        <w:tc>
          <w:tcPr>
            <w:tcW w:w="228" w:type="dxa"/>
            <w:tcBorders/>
            <w:shd w:fill="CCEEFF" w:val="clear"/>
            <w:vAlign w:val="center"/>
          </w:tcPr>
          <w:p>
            <w:pPr>
              <w:pStyle w:val="TableContents"/>
              <w:bidi w:val="0"/>
              <w:spacing w:before="0" w:after="0"/>
              <w:ind w:left="0" w:right="0" w:hanging="0"/>
              <w:jc w:val="righ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vAlign w:val="center"/>
          </w:tcPr>
          <w:p>
            <w:pPr>
              <w:pStyle w:val="TableContents"/>
              <w:bidi w:val="0"/>
              <w:spacing w:before="0" w:after="0"/>
              <w:ind w:left="0" w:right="0" w:hanging="0"/>
              <w:jc w:val="right"/>
              <w:rPr/>
            </w:pPr>
            <w:r>
              <w:rPr/>
              <w:t>​</w:t>
            </w:r>
          </w:p>
        </w:tc>
        <w:tc>
          <w:tcPr>
            <w:tcW w:w="228" w:type="dxa"/>
            <w:tcBorders/>
            <w:vAlign w:val="center"/>
          </w:tcPr>
          <w:p>
            <w:pPr>
              <w:pStyle w:val="TableContents"/>
              <w:bidi w:val="0"/>
              <w:spacing w:before="0" w:after="0"/>
              <w:ind w:left="0" w:right="0" w:hanging="0"/>
              <w:jc w:val="right"/>
              <w:rPr/>
            </w:pPr>
            <w:r>
              <w:rPr/>
              <w:t> </w:t>
            </w:r>
          </w:p>
        </w:tc>
        <w:tc>
          <w:tcPr>
            <w:tcW w:w="731" w:type="dxa"/>
            <w:tcBorders/>
            <w:vAlign w:val="center"/>
          </w:tcPr>
          <w:p>
            <w:pPr>
              <w:pStyle w:val="TableContents"/>
              <w:bidi w:val="0"/>
              <w:spacing w:before="0" w:after="0"/>
              <w:ind w:left="0" w:right="0" w:hanging="0"/>
              <w:jc w:val="right"/>
              <w:rPr/>
            </w:pPr>
            <w:r>
              <w:rPr/>
              <w:t>  ​</w:t>
            </w:r>
          </w:p>
        </w:tc>
        <w:tc>
          <w:tcPr>
            <w:tcW w:w="374" w:type="dxa"/>
            <w:tcBorders/>
            <w:vAlign w:val="center"/>
          </w:tcPr>
          <w:p>
            <w:pPr>
              <w:pStyle w:val="TableContents"/>
              <w:bidi w:val="0"/>
              <w:spacing w:before="0" w:after="0"/>
              <w:ind w:left="0" w:right="0" w:hanging="0"/>
              <w:jc w:val="right"/>
              <w:rPr/>
            </w:pPr>
            <w:r>
              <w:rPr/>
              <w:t>​</w:t>
            </w:r>
          </w:p>
        </w:tc>
        <w:tc>
          <w:tcPr>
            <w:tcW w:w="228" w:type="dxa"/>
            <w:tcBorders/>
            <w:vAlign w:val="center"/>
          </w:tcPr>
          <w:p>
            <w:pPr>
              <w:pStyle w:val="TableContents"/>
              <w:bidi w:val="0"/>
              <w:spacing w:before="0" w:after="0"/>
              <w:ind w:left="0" w:right="0" w:hanging="0"/>
              <w:jc w:val="right"/>
              <w:rPr/>
            </w:pPr>
            <w:r>
              <w:rPr/>
              <w:t> </w:t>
            </w:r>
          </w:p>
        </w:tc>
        <w:tc>
          <w:tcPr>
            <w:tcW w:w="74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736" w:type="dxa"/>
            <w:tcBorders/>
            <w:vAlign w:val="center"/>
          </w:tcPr>
          <w:p>
            <w:pPr>
              <w:pStyle w:val="TableContents"/>
              <w:bidi w:val="0"/>
              <w:spacing w:before="0" w:after="0"/>
              <w:ind w:left="0" w:right="0" w:hanging="0"/>
              <w:jc w:val="right"/>
              <w:rPr/>
            </w:pPr>
            <w:r>
              <w:rPr/>
              <w:t>  ​</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basic</w:t>
            </w:r>
          </w:p>
        </w:tc>
        <w:tc>
          <w:tcPr>
            <w:tcW w:w="346" w:type="dxa"/>
            <w:tcBorders/>
            <w:shd w:fill="CCEEFF" w:val="clear"/>
            <w:vAlign w:val="center"/>
          </w:tcPr>
          <w:p>
            <w:pPr>
              <w:pStyle w:val="TableContents"/>
              <w:bidi w:val="0"/>
              <w:spacing w:before="0" w:after="0"/>
              <w:ind w:left="0" w:right="0" w:hanging="0"/>
              <w:jc w:val="right"/>
              <w:rPr/>
            </w:pPr>
            <w:r>
              <w:rPr/>
              <w:t>​</w:t>
            </w:r>
          </w:p>
        </w:tc>
        <w:tc>
          <w:tcPr>
            <w:tcW w:w="228" w:type="dxa"/>
            <w:tcBorders/>
            <w:shd w:fill="CCEEFF" w:val="clear"/>
            <w:vAlign w:val="center"/>
          </w:tcPr>
          <w:p>
            <w:pPr>
              <w:pStyle w:val="TableContents"/>
              <w:bidi w:val="0"/>
              <w:spacing w:before="0" w:after="0"/>
              <w:ind w:left="0" w:right="0" w:hanging="0"/>
              <w:jc w:val="right"/>
              <w:rPr/>
            </w:pPr>
            <w:r>
              <w:rPr/>
              <w:t> </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34,545</w:t>
            </w:r>
          </w:p>
        </w:tc>
        <w:tc>
          <w:tcPr>
            <w:tcW w:w="374" w:type="dxa"/>
            <w:tcBorders/>
            <w:shd w:fill="CCEEFF" w:val="clear"/>
            <w:vAlign w:val="center"/>
          </w:tcPr>
          <w:p>
            <w:pPr>
              <w:pStyle w:val="TableContents"/>
              <w:bidi w:val="0"/>
              <w:spacing w:before="0" w:after="0"/>
              <w:ind w:left="0" w:right="0" w:hanging="0"/>
              <w:jc w:val="right"/>
              <w:rPr/>
            </w:pPr>
            <w:r>
              <w:rPr/>
              <w:t>​</w:t>
            </w:r>
          </w:p>
        </w:tc>
        <w:tc>
          <w:tcPr>
            <w:tcW w:w="228" w:type="dxa"/>
            <w:tcBorders/>
            <w:shd w:fill="CCEEFF" w:val="clear"/>
            <w:vAlign w:val="center"/>
          </w:tcPr>
          <w:p>
            <w:pPr>
              <w:pStyle w:val="TableContents"/>
              <w:bidi w:val="0"/>
              <w:spacing w:before="0" w:after="0"/>
              <w:ind w:left="0" w:right="0" w:hanging="0"/>
              <w:jc w:val="right"/>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27,664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34,596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27,621</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stock options</w:t>
            </w:r>
          </w:p>
        </w:tc>
        <w:tc>
          <w:tcPr>
            <w:tcW w:w="346" w:type="dxa"/>
            <w:tcBorders/>
            <w:vAlign w:val="center"/>
          </w:tcPr>
          <w:p>
            <w:pPr>
              <w:pStyle w:val="TableContents"/>
              <w:bidi w:val="0"/>
              <w:spacing w:before="0" w:after="0"/>
              <w:ind w:left="0" w:right="0" w:hanging="0"/>
              <w:jc w:val="right"/>
              <w:rPr/>
            </w:pPr>
            <w:r>
              <w:rPr/>
              <w:t>​</w:t>
            </w:r>
          </w:p>
        </w:tc>
        <w:tc>
          <w:tcPr>
            <w:tcW w:w="228" w:type="dxa"/>
            <w:tcBorders/>
            <w:vAlign w:val="center"/>
          </w:tcPr>
          <w:p>
            <w:pPr>
              <w:pStyle w:val="TableContents"/>
              <w:bidi w:val="0"/>
              <w:spacing w:before="0" w:after="0"/>
              <w:ind w:left="0" w:right="0" w:hanging="0"/>
              <w:jc w:val="right"/>
              <w:rPr/>
            </w:pPr>
            <w:r>
              <w:rPr/>
              <w:t> </w:t>
            </w:r>
          </w:p>
        </w:tc>
        <w:tc>
          <w:tcPr>
            <w:tcW w:w="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1,666</w:t>
            </w:r>
          </w:p>
        </w:tc>
        <w:tc>
          <w:tcPr>
            <w:tcW w:w="374" w:type="dxa"/>
            <w:tcBorders/>
            <w:vAlign w:val="center"/>
          </w:tcPr>
          <w:p>
            <w:pPr>
              <w:pStyle w:val="TableContents"/>
              <w:bidi w:val="0"/>
              <w:spacing w:before="0" w:after="0"/>
              <w:ind w:left="0" w:right="0" w:hanging="0"/>
              <w:jc w:val="right"/>
              <w:rPr/>
            </w:pPr>
            <w:r>
              <w:rPr/>
              <w:t>​</w:t>
            </w:r>
          </w:p>
        </w:tc>
        <w:tc>
          <w:tcPr>
            <w:tcW w:w="228" w:type="dxa"/>
            <w:tcBorders/>
            <w:vAlign w:val="center"/>
          </w:tcPr>
          <w:p>
            <w:pPr>
              <w:pStyle w:val="TableContents"/>
              <w:bidi w:val="0"/>
              <w:spacing w:before="0" w:after="0"/>
              <w:ind w:left="0" w:right="0" w:hanging="0"/>
              <w:jc w:val="right"/>
              <w:rPr/>
            </w:pPr>
            <w:r>
              <w:rPr/>
              <w:t> </w:t>
            </w:r>
          </w:p>
        </w:tc>
        <w:tc>
          <w:tcPr>
            <w:tcW w:w="7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2,597</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736" w:type="dxa"/>
            <w:tcBorders/>
            <w:vAlign w:val="center"/>
          </w:tcPr>
          <w:p>
            <w:pPr>
              <w:pStyle w:val="TableContents"/>
              <w:bidi w:val="0"/>
              <w:spacing w:before="0" w:after="0"/>
              <w:ind w:left="0" w:right="0" w:hanging="0"/>
              <w:jc w:val="right"/>
              <w:rPr/>
            </w:pPr>
            <w:r>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restricted share units</w:t>
            </w:r>
          </w:p>
        </w:tc>
        <w:tc>
          <w:tcPr>
            <w:tcW w:w="346" w:type="dxa"/>
            <w:tcBorders/>
            <w:shd w:fill="CCEEFF" w:val="clear"/>
            <w:vAlign w:val="center"/>
          </w:tcPr>
          <w:p>
            <w:pPr>
              <w:pStyle w:val="TableContents"/>
              <w:bidi w:val="0"/>
              <w:spacing w:before="0" w:after="0"/>
              <w:ind w:left="0" w:right="0" w:hanging="0"/>
              <w:jc w:val="right"/>
              <w:rPr/>
            </w:pPr>
            <w:r>
              <w:rPr/>
              <w:t>​</w:t>
            </w:r>
          </w:p>
        </w:tc>
        <w:tc>
          <w:tcPr>
            <w:tcW w:w="228" w:type="dxa"/>
            <w:tcBorders/>
            <w:shd w:fill="CCEEFF" w:val="clear"/>
            <w:vAlign w:val="center"/>
          </w:tcPr>
          <w:p>
            <w:pPr>
              <w:pStyle w:val="TableContents"/>
              <w:bidi w:val="0"/>
              <w:spacing w:before="0" w:after="0"/>
              <w:ind w:left="0" w:right="0" w:hanging="0"/>
              <w:jc w:val="right"/>
              <w:rPr/>
            </w:pPr>
            <w:r>
              <w:rPr/>
              <w:t>​</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74" w:type="dxa"/>
            <w:tcBorders/>
            <w:shd w:fill="CCEEFF" w:val="clear"/>
            <w:vAlign w:val="center"/>
          </w:tcPr>
          <w:p>
            <w:pPr>
              <w:pStyle w:val="TableContents"/>
              <w:bidi w:val="0"/>
              <w:spacing w:before="0" w:after="0"/>
              <w:ind w:left="0" w:right="0" w:hanging="0"/>
              <w:jc w:val="right"/>
              <w:rPr/>
            </w:pPr>
            <w:r>
              <w:rPr/>
              <w:t>​</w:t>
            </w:r>
          </w:p>
        </w:tc>
        <w:tc>
          <w:tcPr>
            <w:tcW w:w="228" w:type="dxa"/>
            <w:tcBorders/>
            <w:shd w:fill="CCEEFF" w:val="clear"/>
            <w:vAlign w:val="center"/>
          </w:tcPr>
          <w:p>
            <w:pPr>
              <w:pStyle w:val="TableContents"/>
              <w:bidi w:val="0"/>
              <w:spacing w:before="0" w:after="0"/>
              <w:ind w:left="0" w:right="0" w:hanging="0"/>
              <w:jc w:val="righ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warrants</w:t>
            </w:r>
          </w:p>
        </w:tc>
        <w:tc>
          <w:tcPr>
            <w:tcW w:w="346" w:type="dxa"/>
            <w:tcBorders/>
            <w:vAlign w:val="center"/>
          </w:tcPr>
          <w:p>
            <w:pPr>
              <w:pStyle w:val="TableContents"/>
              <w:bidi w:val="0"/>
              <w:spacing w:before="0" w:after="0"/>
              <w:ind w:left="0" w:right="0" w:hanging="0"/>
              <w:jc w:val="righ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74" w:type="dxa"/>
            <w:tcBorders/>
            <w:vAlign w:val="center"/>
          </w:tcPr>
          <w:p>
            <w:pPr>
              <w:pStyle w:val="TableContents"/>
              <w:bidi w:val="0"/>
              <w:spacing w:before="0" w:after="0"/>
              <w:ind w:left="0" w:right="0" w:hanging="0"/>
              <w:jc w:val="righ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Incremental dilutive shares</w:t>
            </w:r>
          </w:p>
        </w:tc>
        <w:tc>
          <w:tcPr>
            <w:tcW w:w="346" w:type="dxa"/>
            <w:tcBorders/>
            <w:shd w:fill="CCEEFF" w:val="clear"/>
            <w:vAlign w:val="center"/>
          </w:tcPr>
          <w:p>
            <w:pPr>
              <w:pStyle w:val="TableContents"/>
              <w:bidi w:val="0"/>
              <w:spacing w:before="0" w:after="0"/>
              <w:ind w:left="0" w:right="0" w:hanging="0"/>
              <w:jc w:val="righ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1,885</w:t>
            </w:r>
          </w:p>
        </w:tc>
        <w:tc>
          <w:tcPr>
            <w:tcW w:w="374" w:type="dxa"/>
            <w:tcBorders/>
            <w:shd w:fill="CCEEFF" w:val="clear"/>
            <w:vAlign w:val="center"/>
          </w:tcPr>
          <w:p>
            <w:pPr>
              <w:pStyle w:val="TableContents"/>
              <w:bidi w:val="0"/>
              <w:spacing w:before="0" w:after="0"/>
              <w:ind w:left="0" w:right="0" w:hanging="0"/>
              <w:jc w:val="righ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diluted</w:t>
            </w:r>
          </w:p>
        </w:tc>
        <w:tc>
          <w:tcPr>
            <w:tcW w:w="346" w:type="dxa"/>
            <w:tcBorders/>
            <w:vAlign w:val="center"/>
          </w:tcPr>
          <w:p>
            <w:pPr>
              <w:pStyle w:val="TableContents"/>
              <w:bidi w:val="0"/>
              <w:spacing w:before="0" w:after="0"/>
              <w:ind w:left="0" w:right="0" w:hanging="0"/>
              <w:jc w:val="righ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36,430</w:t>
            </w:r>
          </w:p>
        </w:tc>
        <w:tc>
          <w:tcPr>
            <w:tcW w:w="374" w:type="dxa"/>
            <w:tcBorders/>
            <w:vAlign w:val="center"/>
          </w:tcPr>
          <w:p>
            <w:pPr>
              <w:pStyle w:val="TableContents"/>
              <w:bidi w:val="0"/>
              <w:spacing w:before="0" w:after="0"/>
              <w:ind w:left="0" w:right="0" w:hanging="0"/>
              <w:jc w:val="righ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27,664</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37,410</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27,621</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income/(loss) per share diluted</w:t>
            </w:r>
          </w:p>
        </w:tc>
        <w:tc>
          <w:tcPr>
            <w:tcW w:w="346" w:type="dxa"/>
            <w:tcBorders/>
            <w:shd w:fill="CCEEFF" w:val="clear"/>
            <w:vAlign w:val="center"/>
          </w:tcPr>
          <w:p>
            <w:pPr>
              <w:pStyle w:val="TableContents"/>
              <w:bidi w:val="0"/>
              <w:spacing w:before="0" w:after="0"/>
              <w:ind w:left="0" w:right="0" w:hanging="0"/>
              <w:jc w:val="righ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374" w:type="dxa"/>
            <w:tcBorders/>
            <w:shd w:fill="CCEEFF" w:val="clear"/>
            <w:vAlign w:val="center"/>
          </w:tcPr>
          <w:p>
            <w:pPr>
              <w:pStyle w:val="TableContents"/>
              <w:bidi w:val="0"/>
              <w:spacing w:before="0" w:after="0"/>
              <w:ind w:left="0" w:right="0" w:hanging="0"/>
              <w:jc w:val="righ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w:t>
            </w:r>
          </w:p>
        </w:tc>
        <w:tc>
          <w:tcPr>
            <w:tcW w:w="7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(0.16)</w:t>
            </w:r>
          </w:p>
        </w:tc>
      </w:tr>
    </w:tbl>
    <w:p>
      <w:pPr>
        <w:pStyle w:val="TextBody"/>
        <w:bidi w:val="0"/>
        <w:spacing w:before="0" w:after="0"/>
        <w:ind w:left="0" w:right="0" w:hanging="0"/>
        <w:jc w:val="left"/>
        <w:rPr/>
      </w:pPr>
      <w:r>
        <w:rPr/>
        <w:t>​</w:t>
      </w:r>
    </w:p>
    <w:tbl>
      <w:tblPr>
        <w:tblW w:w="1477"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9215" cy="175260"/>
                      <wp:effectExtent l="0" t="0" r="0" b="0"/>
                      <wp:wrapNone/>
                      <wp:docPr id="86" name="Frame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215" cy="175260"/>
                      <wp:effectExtent l="0" t="0" r="0" b="0"/>
                      <wp:wrapNone/>
                      <wp:docPr id="87" name="Frame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215" cy="175260"/>
                      <wp:effectExtent l="0" t="0" r="0" b="0"/>
                      <wp:wrapNone/>
                      <wp:docPr id="88"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215" cy="175260"/>
                      <wp:effectExtent l="0" t="0" r="0" b="0"/>
                      <wp:wrapNone/>
                      <wp:docPr id="89" name="Frame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90" name="Frame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215" cy="175260"/>
                      <wp:effectExtent l="0" t="0" r="0" b="0"/>
                      <wp:wrapNone/>
                      <wp:docPr id="91" name="Frame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9215" cy="175260"/>
                      <wp:effectExtent l="0" t="0" r="0" b="0"/>
                      <wp:wrapNone/>
                      <wp:docPr id="92" name="Frame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9215" cy="175260"/>
                      <wp:effectExtent l="0" t="0" r="0" b="0"/>
                      <wp:wrapNone/>
                      <wp:docPr id="93" name="Frame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9215" cy="175260"/>
                      <wp:effectExtent l="0" t="0" r="0" b="0"/>
                      <wp:wrapNone/>
                      <wp:docPr id="94" name="Frame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9215" cy="175260"/>
                      <wp:effectExtent l="0" t="0" r="0" b="0"/>
                      <wp:wrapNone/>
                      <wp:docPr id="95" name="Frame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9215" cy="175260"/>
                      <wp:effectExtent l="0" t="0" r="0" b="0"/>
                      <wp:wrapNone/>
                      <wp:docPr id="96" name="Frame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97790" cy="175260"/>
                      <wp:effectExtent l="0" t="0" r="0" b="0"/>
                      <wp:wrapNone/>
                      <wp:docPr id="97" name="Frame9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and six months ended June 30, 2026, the Company reported net income and therefore included the effect of dilutive common share equivalents to the extent they were dilutive. For the three and six months ended June 30, 2025, the Company reported a net loss and, accordingly, all potentially dilutive securities were excluded from diluted net loss per share because their inclusion would have been anti-dilutive.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common stock equivalents, outstanding convertible debt, options and warrants were excluded from the computation of diluted net income/(loss) per share for the periods presented because including them would have had an anti-dilutive effect:</w:t>
      </w:r>
    </w:p>
    <w:p>
      <w:pPr>
        <w:pStyle w:val="TextBody"/>
        <w:bidi w:val="0"/>
        <w:spacing w:before="0" w:after="0"/>
        <w:ind w:left="0" w:right="0" w:hanging="0"/>
        <w:jc w:val="left"/>
        <w:rPr/>
      </w:pPr>
      <w:r>
        <w:rPr/>
        <w:t>​</w:t>
      </w:r>
    </w:p>
    <w:tbl>
      <w:tblPr>
        <w:tblW w:w="8839" w:type="dxa"/>
        <w:jc w:val="left"/>
        <w:tblInd w:w="0" w:type="dxa"/>
        <w:tblLayout w:type="fixed"/>
        <w:tblCellMar>
          <w:top w:w="0" w:type="dxa"/>
          <w:left w:w="0" w:type="dxa"/>
          <w:bottom w:w="0" w:type="dxa"/>
          <w:right w:w="0" w:type="dxa"/>
        </w:tblCellMar>
      </w:tblPr>
      <w:tblGrid>
        <w:gridCol w:w="4306"/>
        <w:gridCol w:w="826"/>
        <w:gridCol w:w="613"/>
        <w:gridCol w:w="826"/>
        <w:gridCol w:w="109"/>
        <w:gridCol w:w="804"/>
        <w:gridCol w:w="487"/>
        <w:gridCol w:w="868"/>
      </w:tblGrid>
      <w:tr>
        <w:trPr/>
        <w:tc>
          <w:tcPr>
            <w:tcW w:w="4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734310" cy="175260"/>
                      <wp:effectExtent l="0" t="0" r="0" b="0"/>
                      <wp:wrapNone/>
                      <wp:docPr id="98" name="Frame98"/>
                      <a:graphic xmlns:a="http://schemas.openxmlformats.org/drawingml/2006/main">
                        <a:graphicData uri="http://schemas.microsoft.com/office/word/2010/wordprocessingShape">
                          <wps:wsp>
                            <wps:cNvSpPr txBox="1"/>
                            <wps:spPr>
                              <a:xfrm>
                                <a:off x="0" y="0"/>
                                <a:ext cx="2734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24510" cy="175260"/>
                      <wp:effectExtent l="0" t="0" r="0" b="0"/>
                      <wp:wrapNone/>
                      <wp:docPr id="99" name="Frame9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389255" cy="175260"/>
                      <wp:effectExtent l="0" t="0" r="0" b="0"/>
                      <wp:wrapNone/>
                      <wp:docPr id="100" name="Frame100"/>
                      <a:graphic xmlns:a="http://schemas.openxmlformats.org/drawingml/2006/main">
                        <a:graphicData uri="http://schemas.microsoft.com/office/word/2010/wordprocessingShape">
                          <wps:wsp>
                            <wps:cNvSpPr txBox="1"/>
                            <wps:spPr>
                              <a:xfrm>
                                <a:off x="0" y="0"/>
                                <a:ext cx="389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24510" cy="175260"/>
                      <wp:effectExtent l="0" t="0" r="0" b="0"/>
                      <wp:wrapNone/>
                      <wp:docPr id="101" name="Frame10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9215" cy="175260"/>
                      <wp:effectExtent l="0" t="0" r="0" b="0"/>
                      <wp:wrapNone/>
                      <wp:docPr id="102" name="Frame1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510540" cy="175260"/>
                      <wp:effectExtent l="0" t="0" r="0" b="0"/>
                      <wp:wrapNone/>
                      <wp:docPr id="103" name="Frame103"/>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09245" cy="175260"/>
                      <wp:effectExtent l="0" t="0" r="0" b="0"/>
                      <wp:wrapNone/>
                      <wp:docPr id="104" name="Frame104"/>
                      <a:graphic xmlns:a="http://schemas.openxmlformats.org/drawingml/2006/main">
                        <a:graphicData uri="http://schemas.microsoft.com/office/word/2010/wordprocessingShape">
                          <wps:wsp>
                            <wps:cNvSpPr txBox="1"/>
                            <wps:spPr>
                              <a:xfrm>
                                <a:off x="0" y="0"/>
                                <a:ext cx="309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51180" cy="175260"/>
                      <wp:effectExtent l="0" t="0" r="0" b="0"/>
                      <wp:wrapNone/>
                      <wp:docPr id="105" name="Frame105"/>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06" w:type="dxa"/>
            <w:tcBorders/>
            <w:vAlign w:val="center"/>
          </w:tcPr>
          <w:p>
            <w:pPr>
              <w:pStyle w:val="TableContents"/>
              <w:bidi w:val="0"/>
              <w:spacing w:before="0" w:after="1"/>
              <w:ind w:left="0" w:right="0" w:hanging="0"/>
              <w:jc w:val="left"/>
              <w:rPr/>
            </w:pPr>
            <w:r>
              <w:rPr/>
              <w:t>​</w:t>
            </w:r>
          </w:p>
        </w:tc>
        <w:tc>
          <w:tcPr>
            <w:tcW w:w="2265"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Diluted Earnings Per Share</w:t>
            </w:r>
          </w:p>
        </w:tc>
        <w:tc>
          <w:tcPr>
            <w:tcW w:w="109" w:type="dxa"/>
            <w:tcBorders/>
            <w:vAlign w:val="center"/>
          </w:tcPr>
          <w:p>
            <w:pPr>
              <w:pStyle w:val="TableContents"/>
              <w:bidi w:val="0"/>
              <w:spacing w:before="0" w:after="1"/>
              <w:ind w:left="0" w:right="0" w:hanging="0"/>
              <w:jc w:val="left"/>
              <w:rPr/>
            </w:pPr>
            <w:r>
              <w:rPr/>
              <w:t>​</w:t>
            </w:r>
          </w:p>
        </w:tc>
        <w:tc>
          <w:tcPr>
            <w:tcW w:w="2159"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Diluted Earnings Per Share</w:t>
            </w:r>
          </w:p>
        </w:tc>
      </w:tr>
      <w:tr>
        <w:trPr/>
        <w:tc>
          <w:tcPr>
            <w:tcW w:w="4306" w:type="dxa"/>
            <w:tcBorders/>
            <w:vAlign w:val="center"/>
          </w:tcPr>
          <w:p>
            <w:pPr>
              <w:pStyle w:val="TableContents"/>
              <w:bidi w:val="0"/>
              <w:spacing w:before="0" w:after="1"/>
              <w:ind w:left="0" w:right="0" w:hanging="0"/>
              <w:jc w:val="center"/>
              <w:rPr/>
            </w:pPr>
            <w:r>
              <w:rPr/>
              <w:t>​</w:t>
            </w:r>
          </w:p>
        </w:tc>
        <w:tc>
          <w:tcPr>
            <w:tcW w:w="226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109" w:type="dxa"/>
            <w:tcBorders/>
            <w:vAlign w:val="center"/>
          </w:tcPr>
          <w:p>
            <w:pPr>
              <w:pStyle w:val="TableContents"/>
              <w:bidi w:val="0"/>
              <w:spacing w:before="0" w:after="1"/>
              <w:ind w:left="0" w:right="0" w:hanging="0"/>
              <w:jc w:val="center"/>
              <w:rPr/>
            </w:pPr>
            <w:r>
              <w:rPr/>
              <w:t>​</w:t>
            </w:r>
          </w:p>
        </w:tc>
        <w:tc>
          <w:tcPr>
            <w:tcW w:w="2159"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306" w:type="dxa"/>
            <w:tcBorders/>
            <w:vAlign w:val="center"/>
          </w:tcPr>
          <w:p>
            <w:pPr>
              <w:pStyle w:val="TableContents"/>
              <w:bidi w:val="0"/>
              <w:spacing w:before="0" w:after="1"/>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613" w:type="dxa"/>
            <w:tcBorders/>
            <w:vAlign w:val="center"/>
          </w:tcPr>
          <w:p>
            <w:pPr>
              <w:pStyle w:val="TableContents"/>
              <w:bidi w:val="0"/>
              <w:spacing w:before="0" w:after="1"/>
              <w:ind w:left="0" w:right="0" w:hanging="0"/>
              <w:jc w:val="left"/>
              <w:rPr/>
            </w:pPr>
            <w:r>
              <w:rPr/>
              <w:t>  ​ ​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87" w:type="dxa"/>
            <w:tcBorders/>
            <w:vAlign w:val="center"/>
          </w:tcPr>
          <w:p>
            <w:pPr>
              <w:pStyle w:val="TableContents"/>
              <w:bidi w:val="0"/>
              <w:spacing w:before="0" w:after="1"/>
              <w:ind w:left="0" w:right="0" w:hanging="0"/>
              <w:jc w:val="left"/>
              <w:rPr/>
            </w:pPr>
            <w:r>
              <w:rPr/>
              <w:t>  ​ ​ ​</w:t>
            </w:r>
          </w:p>
        </w:tc>
        <w:tc>
          <w:tcPr>
            <w:tcW w:w="86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to purchase common shares</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972</w:t>
            </w:r>
          </w:p>
        </w:tc>
        <w:tc>
          <w:tcPr>
            <w:tcW w:w="613"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w:t>
            </w:r>
          </w:p>
        </w:tc>
        <w:tc>
          <w:tcPr>
            <w:tcW w:w="109" w:type="dxa"/>
            <w:tcBorders/>
            <w:shd w:fill="CCEEFF" w:val="clear"/>
            <w:vAlign w:val="center"/>
          </w:tcPr>
          <w:p>
            <w:pPr>
              <w:pStyle w:val="TableContents"/>
              <w:bidi w:val="0"/>
              <w:spacing w:before="0" w:after="1"/>
              <w:ind w:left="0" w:right="0" w:hanging="0"/>
              <w:jc w:val="right"/>
              <w:rPr/>
            </w:pPr>
            <w:r>
              <w:rPr/>
              <w:t>​</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1,291</w:t>
            </w:r>
          </w:p>
        </w:tc>
        <w:tc>
          <w:tcPr>
            <w:tcW w:w="487" w:type="dxa"/>
            <w:tcBorders/>
            <w:shd w:fill="CCEEFF" w:val="clear"/>
            <w:vAlign w:val="center"/>
          </w:tcPr>
          <w:p>
            <w:pPr>
              <w:pStyle w:val="TableContents"/>
              <w:bidi w:val="0"/>
              <w:spacing w:before="0" w:after="1"/>
              <w:ind w:left="0" w:right="0" w:hanging="0"/>
              <w:jc w:val="right"/>
              <w:rPr/>
            </w:pPr>
            <w:r>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6,078</w:t>
            </w:r>
          </w:p>
        </w:tc>
      </w:tr>
      <w:tr>
        <w:trPr/>
        <w:tc>
          <w:tcPr>
            <w:tcW w:w="43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debt to purchase common shares</w:t>
            </w:r>
          </w:p>
        </w:tc>
        <w:tc>
          <w:tcPr>
            <w:tcW w:w="826" w:type="dxa"/>
            <w:tcBorders/>
            <w:vAlign w:val="center"/>
          </w:tcPr>
          <w:p>
            <w:pPr>
              <w:pStyle w:val="TableContents"/>
              <w:bidi w:val="0"/>
              <w:spacing w:before="0" w:after="1"/>
              <w:ind w:left="0" w:right="0" w:hanging="0"/>
              <w:jc w:val="right"/>
              <w:rPr/>
            </w:pPr>
            <w:r>
              <w:rPr/>
              <w:t>—</w:t>
            </w:r>
          </w:p>
        </w:tc>
        <w:tc>
          <w:tcPr>
            <w:tcW w:w="613"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109" w:type="dxa"/>
            <w:tcBorders/>
            <w:vAlign w:val="center"/>
          </w:tcPr>
          <w:p>
            <w:pPr>
              <w:pStyle w:val="TableContents"/>
              <w:bidi w:val="0"/>
              <w:spacing w:before="0" w:after="1"/>
              <w:ind w:left="0" w:right="0" w:hanging="0"/>
              <w:jc w:val="right"/>
              <w:rPr/>
            </w:pPr>
            <w:r>
              <w:rPr/>
              <w:t>​</w:t>
            </w:r>
          </w:p>
        </w:tc>
        <w:tc>
          <w:tcPr>
            <w:tcW w:w="804" w:type="dxa"/>
            <w:tcBorders/>
            <w:vAlign w:val="center"/>
          </w:tcPr>
          <w:p>
            <w:pPr>
              <w:pStyle w:val="TableContents"/>
              <w:bidi w:val="0"/>
              <w:spacing w:before="0" w:after="1"/>
              <w:ind w:left="0" w:right="0" w:hanging="0"/>
              <w:jc w:val="right"/>
              <w:rPr/>
            </w:pPr>
            <w:r>
              <w:rPr/>
              <w:t>—</w:t>
            </w:r>
          </w:p>
        </w:tc>
        <w:tc>
          <w:tcPr>
            <w:tcW w:w="487" w:type="dxa"/>
            <w:tcBorders/>
            <w:vAlign w:val="center"/>
          </w:tcPr>
          <w:p>
            <w:pPr>
              <w:pStyle w:val="TableContents"/>
              <w:bidi w:val="0"/>
              <w:spacing w:before="0" w:after="1"/>
              <w:ind w:left="0" w:right="0" w:hanging="0"/>
              <w:jc w:val="right"/>
              <w:rPr/>
            </w:pPr>
            <w:r>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3,785</w:t>
            </w:r>
          </w:p>
        </w:tc>
      </w:tr>
      <w:tr>
        <w:trPr/>
        <w:tc>
          <w:tcPr>
            <w:tcW w:w="43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share units to purchase common shares</w:t>
            </w:r>
          </w:p>
        </w:tc>
        <w:tc>
          <w:tcPr>
            <w:tcW w:w="826" w:type="dxa"/>
            <w:tcBorders/>
            <w:shd w:fill="CCEEFF" w:val="clear"/>
            <w:vAlign w:val="center"/>
          </w:tcPr>
          <w:p>
            <w:pPr>
              <w:pStyle w:val="TableContents"/>
              <w:bidi w:val="0"/>
              <w:spacing w:before="0" w:after="1"/>
              <w:ind w:left="0" w:right="0" w:hanging="0"/>
              <w:jc w:val="right"/>
              <w:rPr/>
            </w:pPr>
            <w:r>
              <w:rPr/>
              <w:t>—</w:t>
            </w:r>
          </w:p>
        </w:tc>
        <w:tc>
          <w:tcPr>
            <w:tcW w:w="613"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804" w:type="dxa"/>
            <w:tcBorders/>
            <w:shd w:fill="CCEEFF" w:val="clear"/>
            <w:vAlign w:val="center"/>
          </w:tcPr>
          <w:p>
            <w:pPr>
              <w:pStyle w:val="TableContents"/>
              <w:bidi w:val="0"/>
              <w:spacing w:before="0" w:after="1"/>
              <w:ind w:left="0" w:right="0" w:hanging="0"/>
              <w:jc w:val="right"/>
              <w:rPr/>
            </w:pPr>
            <w:r>
              <w:rPr/>
              <w:t>—</w:t>
            </w:r>
          </w:p>
        </w:tc>
        <w:tc>
          <w:tcPr>
            <w:tcW w:w="487" w:type="dxa"/>
            <w:tcBorders/>
            <w:shd w:fill="CCEEFF" w:val="clear"/>
            <w:vAlign w:val="center"/>
          </w:tcPr>
          <w:p>
            <w:pPr>
              <w:pStyle w:val="TableContents"/>
              <w:bidi w:val="0"/>
              <w:spacing w:before="0" w:after="1"/>
              <w:ind w:left="0" w:right="0" w:hanging="0"/>
              <w:jc w:val="right"/>
              <w:rPr/>
            </w:pPr>
            <w:r>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w:t>
            </w:r>
          </w:p>
        </w:tc>
      </w:tr>
      <w:tr>
        <w:trPr/>
        <w:tc>
          <w:tcPr>
            <w:tcW w:w="43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Performance share units to purchase common shares</w:t>
            </w:r>
          </w:p>
        </w:tc>
        <w:tc>
          <w:tcPr>
            <w:tcW w:w="826" w:type="dxa"/>
            <w:tcBorders/>
            <w:vAlign w:val="center"/>
          </w:tcPr>
          <w:p>
            <w:pPr>
              <w:pStyle w:val="TableContents"/>
              <w:bidi w:val="0"/>
              <w:spacing w:before="0" w:after="1"/>
              <w:ind w:left="0" w:right="0" w:hanging="0"/>
              <w:jc w:val="right"/>
              <w:rPr/>
            </w:pPr>
            <w:r>
              <w:rPr/>
              <w:t>—</w:t>
            </w:r>
          </w:p>
        </w:tc>
        <w:tc>
          <w:tcPr>
            <w:tcW w:w="613"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109" w:type="dxa"/>
            <w:tcBorders/>
            <w:vAlign w:val="center"/>
          </w:tcPr>
          <w:p>
            <w:pPr>
              <w:pStyle w:val="TableContents"/>
              <w:bidi w:val="0"/>
              <w:spacing w:before="0" w:after="1"/>
              <w:ind w:left="0" w:right="0" w:hanging="0"/>
              <w:jc w:val="right"/>
              <w:rPr/>
            </w:pPr>
            <w:r>
              <w:rPr/>
              <w:t>​</w:t>
            </w:r>
          </w:p>
        </w:tc>
        <w:tc>
          <w:tcPr>
            <w:tcW w:w="804" w:type="dxa"/>
            <w:tcBorders/>
            <w:vAlign w:val="center"/>
          </w:tcPr>
          <w:p>
            <w:pPr>
              <w:pStyle w:val="TableContents"/>
              <w:bidi w:val="0"/>
              <w:spacing w:before="0" w:after="1"/>
              <w:ind w:left="0" w:right="0" w:hanging="0"/>
              <w:jc w:val="right"/>
              <w:rPr/>
            </w:pPr>
            <w:r>
              <w:rPr/>
              <w:t>—</w:t>
            </w:r>
          </w:p>
        </w:tc>
        <w:tc>
          <w:tcPr>
            <w:tcW w:w="487" w:type="dxa"/>
            <w:tcBorders/>
            <w:vAlign w:val="center"/>
          </w:tcPr>
          <w:p>
            <w:pPr>
              <w:pStyle w:val="TableContents"/>
              <w:bidi w:val="0"/>
              <w:spacing w:before="0" w:after="1"/>
              <w:ind w:left="0" w:right="0" w:hanging="0"/>
              <w:jc w:val="right"/>
              <w:rPr/>
            </w:pPr>
            <w:r>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3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 to purchase common shares</w:t>
            </w:r>
          </w:p>
        </w:tc>
        <w:tc>
          <w:tcPr>
            <w:tcW w:w="826" w:type="dxa"/>
            <w:tcBorders/>
            <w:shd w:fill="CCEEFF" w:val="clear"/>
            <w:vAlign w:val="center"/>
          </w:tcPr>
          <w:p>
            <w:pPr>
              <w:pStyle w:val="TableContents"/>
              <w:bidi w:val="0"/>
              <w:spacing w:before="0" w:after="1"/>
              <w:ind w:left="0" w:right="0" w:hanging="0"/>
              <w:jc w:val="right"/>
              <w:rPr/>
            </w:pPr>
            <w:r>
              <w:rPr/>
              <w:t>—</w:t>
            </w:r>
          </w:p>
        </w:tc>
        <w:tc>
          <w:tcPr>
            <w:tcW w:w="613"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487" w:type="dxa"/>
            <w:tcBorders/>
            <w:shd w:fill="CCEEFF" w:val="clear"/>
            <w:vAlign w:val="center"/>
          </w:tcPr>
          <w:p>
            <w:pPr>
              <w:pStyle w:val="TableContents"/>
              <w:bidi w:val="0"/>
              <w:spacing w:before="0" w:after="1"/>
              <w:ind w:left="0" w:right="0" w:hanging="0"/>
              <w:jc w:val="right"/>
              <w:rPr/>
            </w:pPr>
            <w:r>
              <w:rPr/>
              <w:t>​</w:t>
            </w:r>
          </w:p>
        </w:tc>
        <w:tc>
          <w:tcPr>
            <w:tcW w:w="868"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150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4.  Stockholders’ Equity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Authorized Capital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authorized capital stock consists of an unlimited number of common shares, no par value per share.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720" w:name="Tc_dMKDH0aX8UqL0cQoU2d9Ag_9_4"/>
      <w:bookmarkStart w:id="721" w:name="Tc_Kd8EKeTK5kq_zV4BPrKvgQ_9_0"/>
      <w:bookmarkStart w:id="722" w:name="Tc_J1PurnWvLE2IgXb94qBNMg_8_0"/>
      <w:bookmarkStart w:id="723" w:name="Tc_2xkvASHecUaeAdDXhrKblQ_7_4"/>
      <w:bookmarkStart w:id="724" w:name="Tc_17WIlPtt0UCNv40rcR5n_Q_7_0"/>
      <w:bookmarkStart w:id="725" w:name="Tc__HDItigimk-6c9uPzj3dQQ_6_0"/>
      <w:bookmarkStart w:id="726" w:name="Tc_uRSkknpqUkasvh7wfX_5Xw_5_4"/>
      <w:bookmarkStart w:id="727" w:name="Tc_DwqDf85gokGVs5wPO_AZlQ_5_0"/>
      <w:bookmarkStart w:id="728" w:name="Tc_phUx6H9XHUe3_xr2eHUFIA_4_5"/>
      <w:bookmarkStart w:id="729" w:name="Tc_PXttzJbHIUafIkevyBLsPA_4_2"/>
      <w:bookmarkStart w:id="730" w:name="Tc_Pg_OdFXPw0S9lZttNqZDJw_4_0"/>
      <w:bookmarkStart w:id="731" w:name="Tc_S5d3SYcA5UuafnRK6eyQDg_3_5"/>
      <w:bookmarkStart w:id="732" w:name="Tc_ifQWVLJWXUqLuENypU1GDg_3_2"/>
      <w:bookmarkStart w:id="733" w:name="Tc_PkOxbRVRgkiayDL2uT5Grg_2_2"/>
      <w:bookmarkStart w:id="734" w:name="Tc_f6gP_SIzUkGL516cMkDidQ_1_2"/>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r>
        <w:rPr>
          <w:rFonts w:ascii="Times New Roman;Times;serif" w:hAnsi="Times New Roman;Times;serif"/>
          <w:b/>
          <w:sz w:val="20"/>
        </w:rPr>
        <w:t>Warrants to Purchase Common Stock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three and six months ended June 30, 2026, and 2025, there were no warrants exercised and no warrants were issued. Outstanding warrants have a weighted average life of 1.18 years on June 30, 2026. The following tables detail the Company’s warrant activity for the three and six months ended June 30, 2026:</w:t>
      </w:r>
    </w:p>
    <w:p>
      <w:pPr>
        <w:pStyle w:val="TextBody"/>
        <w:bidi w:val="0"/>
        <w:spacing w:before="0" w:after="240"/>
        <w:ind w:left="0" w:right="0" w:hanging="0"/>
        <w:jc w:val="both"/>
        <w:rPr/>
      </w:pPr>
      <w:r>
        <w:rPr/>
        <w:t>​</w:t>
      </w:r>
    </w:p>
    <w:tbl>
      <w:tblPr>
        <w:tblW w:w="6894" w:type="dxa"/>
        <w:jc w:val="left"/>
        <w:tblInd w:w="0" w:type="dxa"/>
        <w:tblLayout w:type="fixed"/>
        <w:tblCellMar>
          <w:top w:w="0" w:type="dxa"/>
          <w:left w:w="0" w:type="dxa"/>
          <w:bottom w:w="0" w:type="dxa"/>
          <w:right w:w="0" w:type="dxa"/>
        </w:tblCellMar>
      </w:tblPr>
      <w:tblGrid>
        <w:gridCol w:w="2821"/>
        <w:gridCol w:w="346"/>
        <w:gridCol w:w="1756"/>
        <w:gridCol w:w="109"/>
        <w:gridCol w:w="346"/>
        <w:gridCol w:w="1516"/>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791335" cy="175260"/>
                      <wp:effectExtent l="0" t="0" r="0" b="0"/>
                      <wp:wrapNone/>
                      <wp:docPr id="106" name="Frame106"/>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115060" cy="175260"/>
                      <wp:effectExtent l="0" t="0" r="0" b="0"/>
                      <wp:wrapNone/>
                      <wp:docPr id="108" name="Frame108"/>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215" cy="175260"/>
                      <wp:effectExtent l="0" t="0" r="0" b="0"/>
                      <wp:wrapNone/>
                      <wp:docPr id="109" name="Frame1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0"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962660" cy="175260"/>
                      <wp:effectExtent l="0" t="0" r="0" b="0"/>
                      <wp:wrapNone/>
                      <wp:docPr id="111" name="Frame111"/>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7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Shares</w:t>
            </w:r>
          </w:p>
        </w:tc>
        <w:tc>
          <w:tcPr>
            <w:tcW w:w="10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516" w:type="dxa"/>
            <w:tcBorders/>
            <w:vAlign w:val="center"/>
          </w:tcPr>
          <w:p>
            <w:pPr>
              <w:pStyle w:val="TableContents"/>
              <w:bidi w:val="0"/>
              <w:spacing w:before="0" w:after="1"/>
              <w:ind w:left="0" w:right="0" w:hanging="0"/>
              <w:jc w:val="center"/>
              <w:rPr/>
            </w:pPr>
            <w:r>
              <w:rPr/>
              <w:t>​</w:t>
            </w:r>
          </w:p>
        </w:tc>
      </w:tr>
      <w:tr>
        <w:trPr/>
        <w:tc>
          <w:tcPr>
            <w:tcW w:w="28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7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Issuable Upon Exercise</w:t>
            </w:r>
          </w:p>
        </w:tc>
        <w:tc>
          <w:tcPr>
            <w:tcW w:w="10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516" w:type="dxa"/>
            <w:tcBorders/>
            <w:vAlign w:val="center"/>
          </w:tcPr>
          <w:p>
            <w:pPr>
              <w:pStyle w:val="TableContents"/>
              <w:bidi w:val="0"/>
              <w:spacing w:before="0" w:after="1"/>
              <w:ind w:left="0" w:right="0" w:hanging="0"/>
              <w:jc w:val="center"/>
              <w:rPr/>
            </w:pPr>
            <w:r>
              <w:rPr/>
              <w:t>​</w:t>
            </w:r>
          </w:p>
        </w:tc>
      </w:tr>
      <w:tr>
        <w:trPr/>
        <w:tc>
          <w:tcPr>
            <w:tcW w:w="28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7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Outstanding</w:t>
            </w:r>
          </w:p>
        </w:tc>
        <w:tc>
          <w:tcPr>
            <w:tcW w:w="10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5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28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Investor Warrants</w:t>
            </w:r>
          </w:p>
        </w:tc>
        <w:tc>
          <w:tcPr>
            <w:tcW w:w="346" w:type="dxa"/>
            <w:tcBorders/>
            <w:vAlign w:val="center"/>
          </w:tcPr>
          <w:p>
            <w:pPr>
              <w:pStyle w:val="TableContents"/>
              <w:bidi w:val="0"/>
              <w:spacing w:before="0" w:after="1"/>
              <w:ind w:left="0" w:right="0" w:hanging="0"/>
              <w:jc w:val="center"/>
              <w:rPr/>
            </w:pPr>
            <w:r>
              <w:rPr/>
              <w:t>​</w:t>
            </w:r>
          </w:p>
        </w:tc>
        <w:tc>
          <w:tcPr>
            <w:tcW w:w="17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109" w:type="dxa"/>
            <w:tcBorders/>
            <w:vAlign w:val="center"/>
          </w:tcPr>
          <w:p>
            <w:pPr>
              <w:pStyle w:val="TableContents"/>
              <w:bidi w:val="0"/>
              <w:spacing w:before="0" w:after="1"/>
              <w:ind w:left="0" w:right="0" w:hanging="0"/>
              <w:jc w:val="center"/>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5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8.11</w:t>
            </w:r>
          </w:p>
        </w:tc>
      </w:tr>
      <w:tr>
        <w:trPr/>
        <w:tc>
          <w:tcPr>
            <w:tcW w:w="2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Issued</w:t>
            </w:r>
          </w:p>
        </w:tc>
        <w:tc>
          <w:tcPr>
            <w:tcW w:w="346" w:type="dxa"/>
            <w:tcBorders/>
            <w:vAlign w:val="center"/>
          </w:tcPr>
          <w:p>
            <w:pPr>
              <w:pStyle w:val="TableContents"/>
              <w:bidi w:val="0"/>
              <w:spacing w:before="0" w:after="1"/>
              <w:ind w:left="0" w:right="0" w:hanging="0"/>
              <w:jc w:val="left"/>
              <w:rPr/>
            </w:pPr>
            <w:r>
              <w:rPr/>
              <w:t> </w:t>
            </w:r>
          </w:p>
        </w:tc>
        <w:tc>
          <w:tcPr>
            <w:tcW w:w="17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5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March 31, 2026</w:t>
            </w:r>
          </w:p>
        </w:tc>
        <w:tc>
          <w:tcPr>
            <w:tcW w:w="346" w:type="dxa"/>
            <w:tcBorders/>
            <w:shd w:fill="CCEEFF" w:val="clear"/>
            <w:vAlign w:val="center"/>
          </w:tcPr>
          <w:p>
            <w:pPr>
              <w:pStyle w:val="TableContents"/>
              <w:bidi w:val="0"/>
              <w:spacing w:before="0" w:after="1"/>
              <w:ind w:left="0" w:right="0" w:hanging="0"/>
              <w:jc w:val="left"/>
              <w:rPr/>
            </w:pPr>
            <w:r>
              <w:rPr/>
              <w:t>​</w:t>
            </w:r>
          </w:p>
        </w:tc>
        <w:tc>
          <w:tcPr>
            <w:tcW w:w="1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8.11</w:t>
            </w:r>
          </w:p>
        </w:tc>
      </w:tr>
      <w:tr>
        <w:trPr/>
        <w:tc>
          <w:tcPr>
            <w:tcW w:w="2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Issued</w:t>
            </w:r>
          </w:p>
        </w:tc>
        <w:tc>
          <w:tcPr>
            <w:tcW w:w="346" w:type="dxa"/>
            <w:tcBorders/>
            <w:vAlign w:val="center"/>
          </w:tcPr>
          <w:p>
            <w:pPr>
              <w:pStyle w:val="TableContents"/>
              <w:bidi w:val="0"/>
              <w:spacing w:before="0" w:after="1"/>
              <w:ind w:left="0" w:right="0" w:hanging="0"/>
              <w:jc w:val="left"/>
              <w:rPr/>
            </w:pPr>
            <w:r>
              <w:rPr/>
              <w:t>​</w:t>
            </w:r>
          </w:p>
        </w:tc>
        <w:tc>
          <w:tcPr>
            <w:tcW w:w="17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5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17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111</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1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8.11</w:t>
            </w:r>
          </w:p>
        </w:tc>
      </w:tr>
    </w:tbl>
    <w:p>
      <w:pPr>
        <w:pStyle w:val="TextBody"/>
        <w:bidi w:val="0"/>
        <w:spacing w:before="0" w:after="240"/>
        <w:ind w:left="720" w:right="0" w:hanging="0"/>
        <w:jc w:val="both"/>
        <w:rPr>
          <w:shd w:fill="FFFF00" w:val="clear"/>
        </w:rPr>
      </w:pPr>
      <w:r>
        <w:rPr>
          <w:shd w:fill="FFFF00" w:val="clea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Equity Incentive Plan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maintains the Fennec Pharmaceuticals Inc. 2020 Equity Incentive Plan, as amended (the “Plan”), which is administered by the Compensation Committee of the Board of Directors. The Plan provides for the issuance of stock options, restricted share units (“RSUs”), stock appreciation rights, restricted stock awards, unrestricted stock awards, cash-based awards, dividend equivalent rights and stock purchase rights to employees, directors, officers and consultants of the Company. The Compensation Committee is responsible for determining eligible participants and approving individual award grants under the Plan.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April 24, 2025, the Company’s Board of Directors approved an amendment to the Plan to: (i) increase the number of common shares available for issuance under the Plan (excluding common shares issued prior to the date of the meeting pursuant to the exercise of options and vesting of RSUs) to 8,500 common shares; and (ii) include provisions for an employee stock purchase program. This amendment was approved by the Company’s shareholders on June 3,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April 27, 2026, the Company’s Board of Directors approved a further amendment to the Plan to increase the maximum number of common shares reserved and available for issuance under the Plan, together with the Prior Plan, to 10,000 common shares, excluding for this purpose any shares issued under the Plan or the Company’s prior stock option plan prior to June 10, 2026. This amendment was approved by the Company’s shareholders at the Company’s Annual General Meeting of Shareholders held on June 10, 2026.</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Prior to the June 2026 amendment, the maximum number of equity instruments issuable under the Plan, together with the Company’s prior stock option plan, was limited to 8,500 common shares, excluding common shares issued prior to June 3, 2025 pursuant to the exercise of options and vesting of RSUs. Prior to the June 2025 amendment, the maximum number of equity instruments issuable under the Plan, together with the Company’s prior stock option plan, was limited to 25% of the Company’s issued and outstanding common shares, which based on the then-current outstanding share count equated to a maximum of 6,825 common shares available for issuance.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stock options granted under the Plan have an exercise price equal to the fair value of the Company’s common shares on the date of grant. Options generally vest over a period of up to three years and are exercisable for a period of up to ten years from the grant date. Awards under the Plan may be denominated in either U.S. or Canadian dollars.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recognizes stock-based compensation expense for all share-based awards granted to employees and non-employees based on the fair value of the awards on the grant date. The following table summarizes stock-based compensation expense related to equity awards: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bookmarkStart w:id="735" w:name="Tc_6pFRI03spEWHdQMivSK4kg_8_3"/>
      <w:bookmarkStart w:id="736" w:name="Tc_4DXjzrfJbUKuPd4voIq0dQ_8_2"/>
      <w:bookmarkStart w:id="737" w:name="Tc_EMRlcY0IN0K3MpFAFe5mMQ_8_0"/>
      <w:bookmarkStart w:id="738" w:name="Tc_N3D5SN2E70eDbhZJgsGtQw_7_3"/>
      <w:bookmarkStart w:id="739" w:name="Tc_cU2gMKSjSE2CX7zYQb43hA_7_2"/>
      <w:bookmarkStart w:id="740" w:name="Tc_J9iJYBEdR0uuRjDw5pxvSw_7_0"/>
      <w:bookmarkStart w:id="741" w:name="Tc_bkGELaDNpUad5J_ZyD5GZA_6_3"/>
      <w:bookmarkStart w:id="742" w:name="Tc_C2O3LB7DrkmdMJ5Uc0RHvg_6_2"/>
      <w:bookmarkStart w:id="743" w:name="Tc_kqErXn4OPU2h4XMiIOKXjw_6_0"/>
      <w:bookmarkStart w:id="744" w:name="Tc_zhkkMOVrR06eWvtn9Kn0jQ_5_3"/>
      <w:bookmarkStart w:id="745" w:name="Tc_-y_4sHYiYkGGi12qOEEj_A_5_2"/>
      <w:bookmarkStart w:id="746" w:name="Tc_CHFUXrSvrE61d99HprzLqA_5_0"/>
      <w:bookmarkStart w:id="747" w:name="Tc_AptTER-7A06BuEnV8inBMw_4_2"/>
      <w:bookmarkStart w:id="748" w:name="Tc_ZmIZuPmiy0SIqC7UsMf5Iw_4_0"/>
      <w:bookmarkStart w:id="749" w:name="Tc_Aa2DW6-zjUqUxvXqXVY-KA_3_2"/>
      <w:bookmarkStart w:id="750" w:name="Tc_qkja2ksNqUaX6CsANy_Ejg_2_2"/>
      <w:bookmarkStart w:id="751" w:name="Tc_8O6FLvazrkuAanHwaevkcQ_1_2"/>
      <w:bookmarkStart w:id="752" w:name="Tc_QNEOL3h9UkSq1Hrk_RLgNA_10_4"/>
      <w:bookmarkStart w:id="753" w:name="Tc_y3UADM6LdEKAirnvCCguXA_10_0"/>
      <w:bookmarkStart w:id="754" w:name="Tc_qcfhVemFA0K4CdS9BrgyrA_9_0"/>
      <w:bookmarkStart w:id="755" w:name="Tc_xWWJhjwTA0uDJuRDfBkLxg_8_0"/>
      <w:bookmarkStart w:id="756" w:name="Tc_ZLzRTvpIyk-yPNJEzdk9kg_7_0"/>
      <w:bookmarkStart w:id="757" w:name="Tc_ZyiXiOxzL0KOXTYVJOHFzw_6_0"/>
      <w:bookmarkStart w:id="758" w:name="Tc_e_CRZ0kSKEK3E1YLYfC8BA_5_0"/>
      <w:bookmarkStart w:id="759" w:name="Tc_-B2TxYGU-USlKXvKhktpNg_4_0"/>
      <w:bookmarkStart w:id="760" w:name="Tc_zSrlnnYRNUGiH_XuarCOww_3_4"/>
      <w:bookmarkStart w:id="761" w:name="Tc_JD3AeV7GpUea_fhdlkxI8g_3_0"/>
      <w:bookmarkStart w:id="762" w:name="Tc_CHeJUn6ybE6_CV2xF1pTpw_2_4"/>
      <w:bookmarkStart w:id="763" w:name="Tc_A2Ys-_-OjUOnIQXyqGXd7Q_2_2"/>
      <w:bookmarkStart w:id="764" w:name="Tc_VIMt9UwMpU6wNckULvYIWw_2_0"/>
      <w:bookmarkStart w:id="765" w:name="Tc_bGTDLDaemEOMHNMkNEbqrg_1_4"/>
      <w:bookmarkStart w:id="766" w:name="Tc_QJe0ydU2QkKFH8BXlvPVgw_1_2"/>
      <w:bookmarkStart w:id="767" w:name="Tc__TKuG2QX7U2x7tv0U9EDvA_5_11"/>
      <w:bookmarkStart w:id="768" w:name="Tc_c_484c3YH0-H77FPJppRZw_5_8"/>
      <w:bookmarkStart w:id="769" w:name="Tc_8mLOK4SmoE-n4N1NewzLDg_5_5"/>
      <w:bookmarkStart w:id="770" w:name="Tc_Whn6GvF2XEeSZmkTDq1OgQ_5_2"/>
      <w:bookmarkStart w:id="771" w:name="Tc_fEnCbpUzWESn1F3gqThJQQ_5_0"/>
      <w:bookmarkStart w:id="772" w:name="Tc_uUNhFtOMlky3FsUNuzdEPQ_4_11"/>
      <w:bookmarkStart w:id="773" w:name="Tc_nSrViDh_gU2eVDogxFHASw_4_8"/>
      <w:bookmarkStart w:id="774" w:name="Tc_jLmZ0VorMkKED_SMaMgo_g_4_5"/>
      <w:bookmarkStart w:id="775" w:name="Tc_Mam_WNwUd0SwLewFUrOJ-A_4_2"/>
      <w:bookmarkStart w:id="776" w:name="Tc_Lc_x1AYIrke2kHEeIiswzA_4_0"/>
      <w:bookmarkStart w:id="777" w:name="Tc_wGc9ZSf-nEeRJCXLUrF2JA_3_11"/>
      <w:bookmarkStart w:id="778" w:name="Tc_6CCBAZOi3EWEYW9fJdIvbQ_3_8"/>
      <w:bookmarkStart w:id="779" w:name="Tc_gF4uhnyb3USl1bOkRYAuyw_3_5"/>
      <w:bookmarkStart w:id="780" w:name="Tc_tOTJD51tAEa9T7cF4Cg00Q_3_2"/>
      <w:bookmarkStart w:id="781" w:name="Tc_1YWEwr5C40WbCscCa0TISQ_2_11"/>
      <w:bookmarkStart w:id="782" w:name="Tc_PvWh5xlBzkeRRTqErJVgfQ_2_8"/>
      <w:bookmarkStart w:id="783" w:name="Tc_xvYjF2XYCEKK7TK7GUjlbw_2_5"/>
      <w:bookmarkStart w:id="784" w:name="Tc_JAOv6EkTxk-kd6MewirgXQ_2_2"/>
      <w:bookmarkStart w:id="785" w:name="Tc_s3dPNktLm0utsLoyehurIQ_1_8"/>
      <w:bookmarkStart w:id="786" w:name="Tc_ru49fSQ62keTOAbZZs6psw_1_2"/>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r>
        <w:rPr/>
        <w:t>​</w:t>
      </w:r>
    </w:p>
    <w:p>
      <w:pPr>
        <w:pStyle w:val="TextBody"/>
        <w:bidi w:val="0"/>
        <w:spacing w:before="0" w:after="0"/>
        <w:ind w:left="0" w:right="0" w:hanging="0"/>
        <w:jc w:val="left"/>
        <w:rPr/>
      </w:pPr>
      <w:r>
        <w:rPr/>
        <w:t>​</w:t>
      </w:r>
    </w:p>
    <w:tbl>
      <w:tblPr>
        <w:tblW w:w="8089" w:type="dxa"/>
        <w:jc w:val="left"/>
        <w:tblInd w:w="0" w:type="dxa"/>
        <w:tblLayout w:type="fixed"/>
        <w:tblCellMar>
          <w:top w:w="0" w:type="dxa"/>
          <w:left w:w="0" w:type="dxa"/>
          <w:bottom w:w="0" w:type="dxa"/>
          <w:right w:w="0" w:type="dxa"/>
        </w:tblCellMar>
      </w:tblPr>
      <w:tblGrid>
        <w:gridCol w:w="3946"/>
        <w:gridCol w:w="346"/>
        <w:gridCol w:w="211"/>
        <w:gridCol w:w="571"/>
        <w:gridCol w:w="109"/>
        <w:gridCol w:w="211"/>
        <w:gridCol w:w="571"/>
        <w:gridCol w:w="346"/>
        <w:gridCol w:w="211"/>
        <w:gridCol w:w="571"/>
        <w:gridCol w:w="109"/>
        <w:gridCol w:w="211"/>
        <w:gridCol w:w="676"/>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505710" cy="175260"/>
                      <wp:effectExtent l="0" t="0" r="0" b="0"/>
                      <wp:wrapNone/>
                      <wp:docPr id="112" name="Frame112"/>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62585" cy="175260"/>
                      <wp:effectExtent l="0" t="0" r="0" b="0"/>
                      <wp:wrapNone/>
                      <wp:docPr id="115" name="Frame11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9215" cy="175260"/>
                      <wp:effectExtent l="0" t="0" r="0" b="0"/>
                      <wp:wrapNone/>
                      <wp:docPr id="116" name="Frame1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7"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362585" cy="175260"/>
                      <wp:effectExtent l="0" t="0" r="0" b="0"/>
                      <wp:wrapNone/>
                      <wp:docPr id="118" name="Frame11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20"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362585" cy="175260"/>
                      <wp:effectExtent l="0" t="0" r="0" b="0"/>
                      <wp:wrapNone/>
                      <wp:docPr id="121" name="Frame12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9215" cy="175260"/>
                      <wp:effectExtent l="0" t="0" r="0" b="0"/>
                      <wp:wrapNone/>
                      <wp:docPr id="122" name="Frame1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3" name="Frame1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29260" cy="175260"/>
                      <wp:effectExtent l="0" t="0" r="0" b="0"/>
                      <wp:wrapNone/>
                      <wp:docPr id="124" name="Frame12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7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1"/>
              <w:ind w:left="0" w:right="0" w:hanging="0"/>
              <w:jc w:val="left"/>
              <w:rPr/>
            </w:pPr>
            <w:r>
              <w:rPr/>
              <w:t>​</w:t>
            </w:r>
          </w:p>
        </w:tc>
        <w:tc>
          <w:tcPr>
            <w:tcW w:w="177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3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3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 recognized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2,292</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stock-based expense recognized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1,774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1,494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2,764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2,292</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Stock Option Activity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is a summary of option activity for the three and six months ended June 30, 2026. </w:t>
      </w:r>
    </w:p>
    <w:p>
      <w:pPr>
        <w:pStyle w:val="TextBody"/>
        <w:bidi w:val="0"/>
        <w:spacing w:before="0" w:after="240"/>
        <w:ind w:left="0" w:right="0" w:hanging="0"/>
        <w:jc w:val="both"/>
        <w:rPr/>
      </w:pPr>
      <w:r>
        <w:rPr/>
        <w:t>​</w:t>
      </w:r>
    </w:p>
    <w:tbl>
      <w:tblPr>
        <w:tblW w:w="5933" w:type="dxa"/>
        <w:jc w:val="left"/>
        <w:tblInd w:w="0" w:type="dxa"/>
        <w:tblLayout w:type="fixed"/>
        <w:tblCellMar>
          <w:top w:w="0" w:type="dxa"/>
          <w:left w:w="0" w:type="dxa"/>
          <w:bottom w:w="0" w:type="dxa"/>
          <w:right w:w="0" w:type="dxa"/>
        </w:tblCellMar>
      </w:tblPr>
      <w:tblGrid>
        <w:gridCol w:w="3031"/>
        <w:gridCol w:w="109"/>
        <w:gridCol w:w="931"/>
        <w:gridCol w:w="346"/>
        <w:gridCol w:w="409"/>
        <w:gridCol w:w="1107"/>
      </w:tblGrid>
      <w:tr>
        <w:trPr/>
        <w:tc>
          <w:tcPr>
            <w:tcW w:w="30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9215" cy="175260"/>
                      <wp:effectExtent l="0" t="0" r="0" b="0"/>
                      <wp:wrapNone/>
                      <wp:docPr id="125" name="Frame1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91185" cy="175260"/>
                      <wp:effectExtent l="0" t="0" r="0" b="0"/>
                      <wp:wrapNone/>
                      <wp:docPr id="126" name="Frame12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59715" cy="175260"/>
                      <wp:effectExtent l="0" t="0" r="0" b="0"/>
                      <wp:wrapNone/>
                      <wp:docPr id="128" name="Frame128"/>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702945" cy="175260"/>
                      <wp:effectExtent l="0" t="0" r="0" b="0"/>
                      <wp:wrapNone/>
                      <wp:docPr id="129" name="Frame129"/>
                      <a:graphic xmlns:a="http://schemas.openxmlformats.org/drawingml/2006/main">
                        <a:graphicData uri="http://schemas.microsoft.com/office/word/2010/wordprocessingShape">
                          <wps:wsp>
                            <wps:cNvSpPr txBox="1"/>
                            <wps:spPr>
                              <a:xfrm>
                                <a:off x="0" y="0"/>
                                <a:ext cx="702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w:t>
            </w:r>
          </w:p>
        </w:tc>
        <w:tc>
          <w:tcPr>
            <w:tcW w:w="346" w:type="dxa"/>
            <w:tcBorders/>
            <w:vAlign w:val="center"/>
          </w:tcPr>
          <w:p>
            <w:pPr>
              <w:pStyle w:val="TableContents"/>
              <w:bidi w:val="0"/>
              <w:spacing w:before="0" w:after="1"/>
              <w:ind w:left="0" w:right="0" w:hanging="0"/>
              <w:jc w:val="left"/>
              <w:rPr/>
            </w:pPr>
            <w:r>
              <w:rPr/>
              <w:t>​</w:t>
            </w:r>
          </w:p>
        </w:tc>
        <w:tc>
          <w:tcPr>
            <w:tcW w:w="15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30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Options</w:t>
            </w:r>
          </w:p>
        </w:tc>
        <w:tc>
          <w:tcPr>
            <w:tcW w:w="109"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1"/>
              <w:ind w:left="0" w:right="0" w:hanging="0"/>
              <w:jc w:val="left"/>
              <w:rPr/>
            </w:pPr>
            <w:r>
              <w:rPr/>
              <w:t>  ​ ​ ​</w:t>
            </w:r>
          </w:p>
        </w:tc>
        <w:tc>
          <w:tcPr>
            <w:tcW w:w="15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December 31, 2025</w:t>
            </w:r>
          </w:p>
        </w:tc>
        <w:tc>
          <w:tcPr>
            <w:tcW w:w="109"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5,853</w:t>
            </w:r>
          </w:p>
        </w:tc>
        <w:tc>
          <w:tcPr>
            <w:tcW w:w="346" w:type="dxa"/>
            <w:tcBorders/>
            <w:shd w:fill="CCEEFF" w:val="clear"/>
            <w:vAlign w:val="center"/>
          </w:tcPr>
          <w:p>
            <w:pPr>
              <w:pStyle w:val="TableContents"/>
              <w:bidi w:val="0"/>
              <w:spacing w:before="0" w:after="1"/>
              <w:ind w:left="0" w:right="0" w:hanging="0"/>
              <w:jc w:val="right"/>
              <w:rPr/>
            </w:pPr>
            <w:r>
              <w:rPr/>
              <w:t>​</w:t>
            </w:r>
          </w:p>
        </w:tc>
        <w:tc>
          <w:tcPr>
            <w:tcW w:w="4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1,640</w:t>
            </w:r>
          </w:p>
        </w:tc>
        <w:tc>
          <w:tcPr>
            <w:tcW w:w="346" w:type="dxa"/>
            <w:tcBorders/>
            <w:vAlign w:val="center"/>
          </w:tcPr>
          <w:p>
            <w:pPr>
              <w:pStyle w:val="TableContents"/>
              <w:bidi w:val="0"/>
              <w:spacing w:before="0" w:after="1"/>
              <w:ind w:left="0" w:right="0" w:hanging="0"/>
              <w:jc w:val="right"/>
              <w:rPr/>
            </w:pPr>
            <w:r>
              <w:rPr/>
              <w:t>​</w:t>
            </w:r>
          </w:p>
        </w:tc>
        <w:tc>
          <w:tcPr>
            <w:tcW w:w="409" w:type="dxa"/>
            <w:tcBorders/>
            <w:vAlign w:val="center"/>
          </w:tcPr>
          <w:p>
            <w:pPr>
              <w:pStyle w:val="TableContents"/>
              <w:bidi w:val="0"/>
              <w:spacing w:before="0" w:after="1"/>
              <w:ind w:left="0" w:right="0" w:hanging="0"/>
              <w:jc w:val="right"/>
              <w:rPr/>
            </w:pPr>
            <w:r>
              <w:rPr/>
              <w:t> </w:t>
            </w:r>
          </w:p>
        </w:tc>
        <w:tc>
          <w:tcPr>
            <w:tcW w:w="11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5.77</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109"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346" w:type="dxa"/>
            <w:tcBorders/>
            <w:shd w:fill="CCEEFF" w:val="clear"/>
            <w:vAlign w:val="center"/>
          </w:tcPr>
          <w:p>
            <w:pPr>
              <w:pStyle w:val="TableContents"/>
              <w:bidi w:val="0"/>
              <w:spacing w:before="0" w:after="1"/>
              <w:ind w:left="0" w:right="0" w:hanging="0"/>
              <w:jc w:val="righ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1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March 31, 2026</w:t>
            </w:r>
          </w:p>
        </w:tc>
        <w:tc>
          <w:tcPr>
            <w:tcW w:w="109"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7,229</w:t>
            </w:r>
          </w:p>
        </w:tc>
        <w:tc>
          <w:tcPr>
            <w:tcW w:w="346" w:type="dxa"/>
            <w:tcBorders/>
            <w:vAlign w:val="center"/>
          </w:tcPr>
          <w:p>
            <w:pPr>
              <w:pStyle w:val="TableContents"/>
              <w:bidi w:val="0"/>
              <w:spacing w:before="0" w:after="1"/>
              <w:ind w:left="0" w:right="0" w:hanging="0"/>
              <w:jc w:val="right"/>
              <w:rPr/>
            </w:pPr>
            <w:r>
              <w:rPr/>
              <w:t>​</w:t>
            </w:r>
          </w:p>
        </w:tc>
        <w:tc>
          <w:tcPr>
            <w:tcW w:w="4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6.29</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346" w:type="dxa"/>
            <w:tcBorders/>
            <w:shd w:fill="CCEEFF" w:val="clear"/>
            <w:vAlign w:val="center"/>
          </w:tcPr>
          <w:p>
            <w:pPr>
              <w:pStyle w:val="TableContents"/>
              <w:bidi w:val="0"/>
              <w:spacing w:before="0" w:after="1"/>
              <w:ind w:left="0" w:right="0" w:hanging="0"/>
              <w:jc w:val="right"/>
              <w:rPr/>
            </w:pPr>
            <w:r>
              <w:rPr/>
              <w:t>​</w:t>
            </w:r>
          </w:p>
        </w:tc>
        <w:tc>
          <w:tcPr>
            <w:tcW w:w="409" w:type="dxa"/>
            <w:tcBorders/>
            <w:shd w:fill="CCEEFF" w:val="clear"/>
            <w:vAlign w:val="center"/>
          </w:tcPr>
          <w:p>
            <w:pPr>
              <w:pStyle w:val="TableContents"/>
              <w:bidi w:val="0"/>
              <w:spacing w:before="0" w:after="1"/>
              <w:ind w:left="0" w:right="0" w:hanging="0"/>
              <w:jc w:val="right"/>
              <w:rPr/>
            </w:pPr>
            <w:r>
              <w:rPr/>
              <w:t>​</w:t>
            </w:r>
          </w:p>
        </w:tc>
        <w:tc>
          <w:tcPr>
            <w:tcW w:w="11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9.08</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109"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w:t>
            </w:r>
          </w:p>
        </w:tc>
        <w:tc>
          <w:tcPr>
            <w:tcW w:w="346" w:type="dxa"/>
            <w:tcBorders/>
            <w:vAlign w:val="center"/>
          </w:tcPr>
          <w:p>
            <w:pPr>
              <w:pStyle w:val="TableContents"/>
              <w:bidi w:val="0"/>
              <w:spacing w:before="0" w:after="1"/>
              <w:ind w:left="0" w:right="0" w:hanging="0"/>
              <w:jc w:val="right"/>
              <w:rPr/>
            </w:pPr>
            <w:r>
              <w:rPr/>
              <w:t>​</w:t>
            </w:r>
          </w:p>
        </w:tc>
        <w:tc>
          <w:tcPr>
            <w:tcW w:w="409" w:type="dxa"/>
            <w:tcBorders/>
            <w:vAlign w:val="center"/>
          </w:tcPr>
          <w:p>
            <w:pPr>
              <w:pStyle w:val="TableContents"/>
              <w:bidi w:val="0"/>
              <w:spacing w:before="0" w:after="1"/>
              <w:ind w:left="0" w:right="0" w:hanging="0"/>
              <w:jc w:val="right"/>
              <w:rPr/>
            </w:pPr>
            <w:r>
              <w:rPr/>
              <w:t>​</w:t>
            </w:r>
          </w:p>
        </w:tc>
        <w:tc>
          <w:tcPr>
            <w:tcW w:w="11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6.09</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09"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1"/>
              <w:ind w:left="0" w:right="0" w:hanging="0"/>
              <w:jc w:val="righ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6.22</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June 30, 2026</w:t>
            </w:r>
          </w:p>
        </w:tc>
        <w:tc>
          <w:tcPr>
            <w:tcW w:w="109" w:type="dxa"/>
            <w:tcBorders/>
            <w:vAlign w:val="center"/>
          </w:tcPr>
          <w:p>
            <w:pPr>
              <w:pStyle w:val="TableContents"/>
              <w:bidi w:val="0"/>
              <w:spacing w:before="0" w:after="1"/>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7,039</w:t>
            </w:r>
          </w:p>
        </w:tc>
        <w:tc>
          <w:tcPr>
            <w:tcW w:w="346" w:type="dxa"/>
            <w:tcBorders/>
            <w:vAlign w:val="center"/>
          </w:tcPr>
          <w:p>
            <w:pPr>
              <w:pStyle w:val="TableContents"/>
              <w:bidi w:val="0"/>
              <w:spacing w:before="0" w:after="1"/>
              <w:ind w:left="0" w:right="0" w:hanging="0"/>
              <w:jc w:val="right"/>
              <w:rPr/>
            </w:pPr>
            <w:r>
              <w:rPr/>
              <w:t>​</w:t>
            </w:r>
          </w:p>
        </w:tc>
        <w:tc>
          <w:tcPr>
            <w:tcW w:w="40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0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6.37</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Of the 7,039 options granted and outstanding at June 30, 2026, 4,567 are fully vested and exercisable.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fair value of equity awards valued using the Black-Scholes option pricing model, including stock options awards, was estimated using the assumptions in the table below. Expected volatility was determined based on the historical volatility of the Company’s common stock over a period consistent with the expected term of the applicable award.</w:t>
      </w:r>
    </w:p>
    <w:p>
      <w:pPr>
        <w:pStyle w:val="TextBody"/>
        <w:bidi w:val="0"/>
        <w:spacing w:before="0" w:after="0"/>
        <w:ind w:left="0" w:right="0" w:hanging="0"/>
        <w:jc w:val="left"/>
        <w:rPr/>
      </w:pPr>
      <w:r>
        <w:rPr/>
        <w:t>​</w:t>
      </w:r>
    </w:p>
    <w:tbl>
      <w:tblPr>
        <w:tblW w:w="4754" w:type="dxa"/>
        <w:jc w:val="left"/>
        <w:tblInd w:w="0" w:type="dxa"/>
        <w:tblLayout w:type="fixed"/>
        <w:tblCellMar>
          <w:top w:w="0" w:type="dxa"/>
          <w:left w:w="0" w:type="dxa"/>
          <w:bottom w:w="0" w:type="dxa"/>
          <w:right w:w="0" w:type="dxa"/>
        </w:tblCellMar>
      </w:tblPr>
      <w:tblGrid>
        <w:gridCol w:w="2551"/>
        <w:gridCol w:w="146"/>
        <w:gridCol w:w="1411"/>
        <w:gridCol w:w="646"/>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619885" cy="175260"/>
                      <wp:effectExtent l="0" t="0" r="0" b="0"/>
                      <wp:wrapNone/>
                      <wp:docPr id="130" name="Frame130"/>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92710" cy="175260"/>
                      <wp:effectExtent l="0" t="0" r="0" b="0"/>
                      <wp:wrapNone/>
                      <wp:docPr id="131" name="Frame13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895985" cy="175260"/>
                      <wp:effectExtent l="0" t="0" r="0" b="0"/>
                      <wp:wrapNone/>
                      <wp:docPr id="132" name="Frame132"/>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10210" cy="175260"/>
                      <wp:effectExtent l="0" t="0" r="0" b="0"/>
                      <wp:wrapNone/>
                      <wp:docPr id="133" name="Frame133"/>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Valuation </w:t>
            </w:r>
          </w:p>
        </w:tc>
        <w:tc>
          <w:tcPr>
            <w:tcW w:w="646" w:type="dxa"/>
            <w:tcBorders/>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Assumptions</w:t>
            </w:r>
          </w:p>
        </w:tc>
        <w:tc>
          <w:tcPr>
            <w:tcW w:w="646" w:type="dxa"/>
            <w:tcBorders/>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646" w:type="dxa"/>
            <w:tcBorders/>
            <w:vAlign w:val="center"/>
          </w:tcPr>
          <w:p>
            <w:pPr>
              <w:pStyle w:val="TableContents"/>
              <w:bidi w:val="0"/>
              <w:spacing w:before="0" w:after="1"/>
              <w:ind w:left="0" w:right="0" w:hanging="0"/>
              <w:jc w:val="left"/>
              <w:rPr/>
            </w:pPr>
            <w:r>
              <w:rPr/>
              <w:t>​</w:t>
            </w:r>
          </w:p>
        </w:tc>
      </w:tr>
      <w:tr>
        <w:trPr/>
        <w:tc>
          <w:tcPr>
            <w:tcW w:w="25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Black-Scholes Model Assumptions</w:t>
            </w:r>
          </w:p>
        </w:tc>
        <w:tc>
          <w:tcPr>
            <w:tcW w:w="146" w:type="dxa"/>
            <w:tcBorders/>
            <w:vAlign w:val="center"/>
          </w:tcPr>
          <w:p>
            <w:pPr>
              <w:pStyle w:val="TableContents"/>
              <w:bidi w:val="0"/>
              <w:spacing w:before="0" w:after="1"/>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w:t>
            </w:r>
          </w:p>
        </w:tc>
        <w:tc>
          <w:tcPr>
            <w:tcW w:w="14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646"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 free rate</w:t>
            </w:r>
          </w:p>
        </w:tc>
        <w:tc>
          <w:tcPr>
            <w:tcW w:w="146"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4.07 - 4.35</w:t>
            </w:r>
          </w:p>
        </w:tc>
        <w:tc>
          <w:tcPr>
            <w:tcW w:w="646"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14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140.87- 159.22</w:t>
            </w:r>
          </w:p>
        </w:tc>
        <w:tc>
          <w:tcPr>
            <w:tcW w:w="646"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life</w:t>
            </w:r>
          </w:p>
        </w:tc>
        <w:tc>
          <w:tcPr>
            <w:tcW w:w="1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5.00 - 6.00</w:t>
            </w:r>
          </w:p>
        </w:tc>
        <w:tc>
          <w:tcPr>
            <w:tcW w:w="646"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years</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Performance-Based Units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May and August 2025, the Board of Directors approved grants of performance-based restricted share units (“PSUs”) that vest based on the achievement of specified revenue performance milestones for 2025, and the related compensation cost was fully recognized in 2025. During the six months ended June 30, 2026, no additional PSUs were granted, and certain PSUs vested and were released in accordance with the original terms of the awards.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Restricted Share Units</w:t>
      </w:r>
      <w:r>
        <w:rPr>
          <w:rFonts w:ascii="Times New Roman;Times;serif" w:hAnsi="Times New Roman;Times;serif"/>
          <w:sz w:val="20"/>
        </w:rPr>
        <w:t xml:space="preserve"> </w:t>
      </w:r>
      <w:r>
        <w:rPr>
          <w:rFonts w:ascii="Times New Roman;Times;serif" w:hAnsi="Times New Roman;Times;serif"/>
          <w:b/>
          <w:sz w:val="20"/>
        </w:rPr>
        <w:t>Activity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Plan allows for the issuance of restricted share units (“RSUs”). The following is a summary of RSU activity for the three and six months ended June 30, 2026. During the three and six months ended June 30, 2026, there were 287 and 405 RSUs released from restriction, respectively. Standard vesting of  RSUs is over three years with </w:t>
      </w:r>
      <w:r>
        <w:rPr>
          <w:rFonts w:ascii="Times New Roman;Times;serif" w:hAnsi="Times New Roman;Times;serif"/>
          <w:b w:val="false"/>
          <w:i w:val="false"/>
          <w:caps w:val="false"/>
          <w:smallCaps w:val="false"/>
          <w:sz w:val="20"/>
        </w:rPr>
        <w:t>1/3</w:t>
      </w:r>
      <w:r>
        <w:rPr>
          <w:rFonts w:ascii="Times New Roman;Times;serif" w:hAnsi="Times New Roman;Times;serif"/>
          <w:sz w:val="20"/>
        </w:rPr>
        <w:t xml:space="preserve"> vesting on the first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787" w:name="Tc_TDqcUr-1W0-Fp-JU_MMXvA_12_0"/>
      <w:bookmarkStart w:id="788" w:name="Tc_1umueK_0ukyMjAeYT6qxng_11_0"/>
      <w:bookmarkStart w:id="789" w:name="Tc_uwcQ0YZqcUaTwwC1SH16Qg_10_0"/>
      <w:bookmarkStart w:id="790" w:name="Tc_Aj3BCLGsOUSfzX_wYGFpTw_9_2"/>
      <w:bookmarkStart w:id="791" w:name="Tc_e5Sve_J7b06nnV5iqf0M2g_9_0"/>
      <w:bookmarkStart w:id="792" w:name="Tc_L5KJaIbNGE6vceEhwMWuVA_8_0"/>
      <w:bookmarkStart w:id="793" w:name="Tc_yMrsUqOEd0qxe69CXKxhLA_7_2"/>
      <w:bookmarkStart w:id="794" w:name="Tc_VdXjm0F-okydvub45Xduhw_7_0"/>
      <w:bookmarkStart w:id="795" w:name="Tc_QMJC_5BqAkajL8h12v0bcg_6_0"/>
      <w:bookmarkStart w:id="796" w:name="Tc_p71imDt7OkykVEjnSA2Y1A_5_0"/>
      <w:bookmarkStart w:id="797" w:name="Tc_y0BlpA3Wk0mLd2hC9pdIWQ_4_0"/>
      <w:bookmarkStart w:id="798" w:name="Tc_pKREiG_bnE6mgPxeOHNBhg_3_2"/>
      <w:bookmarkStart w:id="799" w:name="Tc_oifibbTi9kiPrIIwZMeBxQ_3_0"/>
      <w:bookmarkStart w:id="800" w:name="Tc_IUvsgWCXzkCwWwHpdHH2Sg_2_2"/>
      <w:bookmarkStart w:id="801" w:name="Tc_RR9rmOU0N0a9W1azkbglSg_1_2"/>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r>
        <w:rPr>
          <w:rFonts w:ascii="Times New Roman;Times;serif" w:hAnsi="Times New Roman;Times;serif"/>
          <w:sz w:val="20"/>
        </w:rPr>
        <w:t xml:space="preserve">anniversary date of the grant and then </w:t>
      </w:r>
      <w:r>
        <w:rPr>
          <w:rFonts w:ascii="Times New Roman;Times;serif" w:hAnsi="Times New Roman;Times;serif"/>
          <w:b w:val="false"/>
          <w:i w:val="false"/>
          <w:caps w:val="false"/>
          <w:smallCaps w:val="false"/>
          <w:sz w:val="20"/>
        </w:rPr>
        <w:t>1/24</w:t>
      </w:r>
      <w:r>
        <w:rPr>
          <w:rFonts w:ascii="Times New Roman;Times;serif" w:hAnsi="Times New Roman;Times;serif"/>
          <w:sz w:val="20"/>
        </w:rPr>
        <w:t xml:space="preserve"> on the last day of each subsequent month. The Compensation Committee may also award RSUs with alternative vesting.</w:t>
      </w:r>
    </w:p>
    <w:p>
      <w:pPr>
        <w:pStyle w:val="TextBody"/>
        <w:bidi w:val="0"/>
        <w:spacing w:before="0" w:after="240"/>
        <w:ind w:left="0" w:right="0" w:hanging="0"/>
        <w:jc w:val="both"/>
        <w:rPr/>
      </w:pPr>
      <w:r>
        <w:rPr/>
        <w:t>​</w:t>
      </w:r>
    </w:p>
    <w:tbl>
      <w:tblPr>
        <w:tblW w:w="4528" w:type="dxa"/>
        <w:jc w:val="left"/>
        <w:tblInd w:w="0" w:type="dxa"/>
        <w:tblLayout w:type="fixed"/>
        <w:tblCellMar>
          <w:top w:w="0" w:type="dxa"/>
          <w:left w:w="0" w:type="dxa"/>
          <w:bottom w:w="0" w:type="dxa"/>
          <w:right w:w="0" w:type="dxa"/>
        </w:tblCellMar>
      </w:tblPr>
      <w:tblGrid>
        <w:gridCol w:w="3031"/>
        <w:gridCol w:w="146"/>
        <w:gridCol w:w="1351"/>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924685" cy="175260"/>
                      <wp:effectExtent l="0" t="0" r="0" b="0"/>
                      <wp:wrapNone/>
                      <wp:docPr id="134" name="Frame134"/>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92710" cy="175260"/>
                      <wp:effectExtent l="0" t="0" r="0" b="0"/>
                      <wp:wrapNone/>
                      <wp:docPr id="135" name="Frame13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857885" cy="175260"/>
                      <wp:effectExtent l="0" t="0" r="0" b="0"/>
                      <wp:wrapNone/>
                      <wp:docPr id="136" name="Frame136"/>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w:t>
            </w:r>
          </w:p>
        </w:tc>
      </w:tr>
      <w:tr>
        <w:trPr/>
        <w:tc>
          <w:tcPr>
            <w:tcW w:w="303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Restricted Share</w:t>
            </w:r>
          </w:p>
        </w:tc>
      </w:tr>
      <w:tr>
        <w:trPr/>
        <w:tc>
          <w:tcPr>
            <w:tcW w:w="30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RSUs Current Periods</w:t>
            </w:r>
          </w:p>
        </w:tc>
        <w:tc>
          <w:tcPr>
            <w:tcW w:w="146" w:type="dxa"/>
            <w:tcBorders/>
            <w:vAlign w:val="center"/>
          </w:tcPr>
          <w:p>
            <w:pPr>
              <w:pStyle w:val="TableContents"/>
              <w:bidi w:val="0"/>
              <w:spacing w:before="0" w:after="1"/>
              <w:ind w:left="0" w:right="0" w:hanging="0"/>
              <w:jc w:val="left"/>
              <w:rPr/>
            </w:pPr>
            <w:r>
              <w:rPr/>
              <w:t>​</w:t>
            </w:r>
          </w:p>
        </w:tc>
        <w:tc>
          <w:tcPr>
            <w:tcW w:w="13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Units</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December 31, 2025</w:t>
            </w:r>
          </w:p>
        </w:tc>
        <w:tc>
          <w:tcPr>
            <w:tcW w:w="146" w:type="dxa"/>
            <w:tcBorders/>
            <w:shd w:fill="CCEEFF" w:val="clear"/>
            <w:vAlign w:val="center"/>
          </w:tcPr>
          <w:p>
            <w:pPr>
              <w:pStyle w:val="TableContents"/>
              <w:bidi w:val="0"/>
              <w:spacing w:before="0" w:after="1"/>
              <w:ind w:left="0" w:right="0" w:hanging="0"/>
              <w:jc w:val="left"/>
              <w:rPr/>
            </w:pPr>
            <w:r>
              <w:rPr/>
              <w:t> </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Awarded</w:t>
            </w:r>
          </w:p>
        </w:tc>
        <w:tc>
          <w:tcPr>
            <w:tcW w:w="146" w:type="dxa"/>
            <w:tcBorders/>
            <w:vAlign w:val="center"/>
          </w:tcPr>
          <w:p>
            <w:pPr>
              <w:pStyle w:val="TableContents"/>
              <w:bidi w:val="0"/>
              <w:spacing w:before="0" w:after="1"/>
              <w:ind w:left="0" w:right="0" w:hanging="0"/>
              <w:jc w:val="left"/>
              <w:rPr/>
            </w:pPr>
            <w:r>
              <w:rPr/>
              <w:t> </w:t>
            </w:r>
          </w:p>
        </w:tc>
        <w:tc>
          <w:tcPr>
            <w:tcW w:w="1351" w:type="dxa"/>
            <w:tcBorders/>
            <w:vAlign w:val="center"/>
          </w:tcPr>
          <w:p>
            <w:pPr>
              <w:pStyle w:val="TableContents"/>
              <w:bidi w:val="0"/>
              <w:spacing w:before="0" w:after="1"/>
              <w:ind w:left="0" w:right="0" w:hanging="0"/>
              <w:jc w:val="right"/>
              <w:rPr/>
            </w:pPr>
            <w:r>
              <w:rPr/>
              <w:t>—</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Released</w:t>
            </w:r>
          </w:p>
        </w:tc>
        <w:tc>
          <w:tcPr>
            <w:tcW w:w="146" w:type="dxa"/>
            <w:tcBorders/>
            <w:shd w:fill="CCEEFF" w:val="clear"/>
            <w:vAlign w:val="center"/>
          </w:tcPr>
          <w:p>
            <w:pPr>
              <w:pStyle w:val="TableContents"/>
              <w:bidi w:val="0"/>
              <w:spacing w:before="0" w:after="1"/>
              <w:ind w:left="0" w:right="0" w:hanging="0"/>
              <w:jc w:val="left"/>
              <w:rPr/>
            </w:pPr>
            <w:r>
              <w:rPr/>
              <w:t>​</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46" w:type="dxa"/>
            <w:tcBorders/>
            <w:vAlign w:val="center"/>
          </w:tcPr>
          <w:p>
            <w:pPr>
              <w:pStyle w:val="TableContents"/>
              <w:bidi w:val="0"/>
              <w:spacing w:before="0" w:after="1"/>
              <w:ind w:left="0" w:right="0" w:hanging="0"/>
              <w:jc w:val="left"/>
              <w:rPr/>
            </w:pPr>
            <w:r>
              <w:rPr/>
              <w:t>​</w:t>
            </w:r>
          </w:p>
        </w:tc>
        <w:tc>
          <w:tcPr>
            <w:tcW w:w="13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March 31, 2026</w:t>
            </w:r>
          </w:p>
        </w:tc>
        <w:tc>
          <w:tcPr>
            <w:tcW w:w="146" w:type="dxa"/>
            <w:tcBorders/>
            <w:shd w:fill="CCEEFF" w:val="clear"/>
            <w:vAlign w:val="center"/>
          </w:tcPr>
          <w:p>
            <w:pPr>
              <w:pStyle w:val="TableContents"/>
              <w:bidi w:val="0"/>
              <w:spacing w:before="0" w:after="1"/>
              <w:ind w:left="0" w:right="0" w:hanging="0"/>
              <w:jc w:val="left"/>
              <w:rPr/>
            </w:pPr>
            <w:r>
              <w:rPr/>
              <w:t>​</w:t>
            </w:r>
          </w:p>
        </w:tc>
        <w:tc>
          <w:tcPr>
            <w:tcW w:w="13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512</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Awarded</w:t>
            </w:r>
          </w:p>
        </w:tc>
        <w:tc>
          <w:tcPr>
            <w:tcW w:w="146"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right"/>
              <w:rPr/>
            </w:pPr>
            <w:r>
              <w:rPr/>
              <w:t>—</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Released</w:t>
            </w:r>
          </w:p>
        </w:tc>
        <w:tc>
          <w:tcPr>
            <w:tcW w:w="146" w:type="dxa"/>
            <w:tcBorders/>
            <w:shd w:fill="CCEEFF" w:val="clear"/>
            <w:vAlign w:val="center"/>
          </w:tcPr>
          <w:p>
            <w:pPr>
              <w:pStyle w:val="TableContents"/>
              <w:bidi w:val="0"/>
              <w:spacing w:before="0" w:after="1"/>
              <w:ind w:left="0" w:right="0" w:hanging="0"/>
              <w:jc w:val="left"/>
              <w:rPr/>
            </w:pPr>
            <w:r>
              <w:rPr/>
              <w:t>​</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46" w:type="dxa"/>
            <w:tcBorders/>
            <w:vAlign w:val="center"/>
          </w:tcPr>
          <w:p>
            <w:pPr>
              <w:pStyle w:val="TableContents"/>
              <w:bidi w:val="0"/>
              <w:spacing w:before="0" w:after="1"/>
              <w:ind w:left="0" w:right="0" w:hanging="0"/>
              <w:jc w:val="left"/>
              <w:rPr/>
            </w:pPr>
            <w:r>
              <w:rPr/>
              <w:t>​</w:t>
            </w:r>
          </w:p>
        </w:tc>
        <w:tc>
          <w:tcPr>
            <w:tcW w:w="13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June 30, 2026</w:t>
            </w:r>
          </w:p>
        </w:tc>
        <w:tc>
          <w:tcPr>
            <w:tcW w:w="146" w:type="dxa"/>
            <w:tcBorders/>
            <w:shd w:fill="CCEEFF" w:val="clear"/>
            <w:vAlign w:val="center"/>
          </w:tcPr>
          <w:p>
            <w:pPr>
              <w:pStyle w:val="TableContents"/>
              <w:bidi w:val="0"/>
              <w:spacing w:before="0" w:after="1"/>
              <w:ind w:left="0" w:right="0" w:hanging="0"/>
              <w:jc w:val="left"/>
              <w:rPr/>
            </w:pPr>
            <w:r>
              <w:rPr/>
              <w:t>​</w:t>
            </w:r>
          </w:p>
        </w:tc>
        <w:tc>
          <w:tcPr>
            <w:tcW w:w="135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217</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value of RSUs issued was estimated using the share price on the date of the award multiplied by the number of common shares granted.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Employee Stock Purchase Plan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maintains an employee stock purchase plan under the Fennec Pharmaceuticals Inc. 2020 Equity Incentive Plan that allows eligible employees to purchase common shares at a discount through after-tax payroll deductions during recurring six-month offering periods. The purchase price is generally 85% of the lower of the fair market value of the Company’s common shares on the first or last trading day of the applicable offering period, subject to statutory limits. The ESPP is accounted for as a compensatory plan under ASC 718, and the grant-date fair value of purchase rights is estimated using the Black-Scholes option pricing model. ESPP-related stock-based compensation expense for the three and six months ended June 30, 2026 was $64 and $64, respectively, reflecting expense only for the second quarter of 2026, when the ESPP became effective.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Under the ESPP, eligible employees of the Company and its participating subsidiaries may purchase common shares through after-tax payroll deductions at a discounted price. Substantially all employees of the Company and its U.S. subsidiaries are eligible to participate, except employees who own 5% or more of the Company’s voting stock and employees who may be excluded under the plan’s terms in accordance with Section 423 of the Internal Revenue Code (e.g., based on service requirements, customary hours worked, or highly-compensated status).</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5.    Fair Value Measurements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adopted ASC 820, the Fair Value Measurements and Disclosure Topic of the FASB. This Topic applies to certain assets and liabilities that are being measured and reported on a fair value basis. The Fair Value Measurements Topic defines fair value, establishes a framework for measuring fair value in accordance with US GAAP, and expands disclosure about fair value measurements. This Topic enables the reader of the financial statements to assess the inputs used to develop those measurements by establishing a hierarchy for ranking the quality and reliability of the information used to determine fair values. The Topic requires that financial assets and liabilities carried at fair value be classified and disclosed in one of the following three categories: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1: Quoted market prices in active markets for identical assets or liabilities.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2: Observable market-based inputs or unobservable inputs that are corroborated by market data.</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3: Unobservable inputs that are not corroborated by market data.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802" w:name="Tc_jNFUZ6bNFUGHL3bFNY7cpg_9_18"/>
      <w:bookmarkStart w:id="803" w:name="Tc_dPLL_88hO0CFVxpild93Sw_9_16"/>
      <w:bookmarkStart w:id="804" w:name="Tc_NOja7BT0BkyyYst13E1YIg_9_15"/>
      <w:bookmarkStart w:id="805" w:name="Tc_B41ugETlSEqh2_A3rJSYKQ_9_14"/>
      <w:bookmarkStart w:id="806" w:name="Tc_RInvsMqdSkCZVzF2GtHYYA_9_13"/>
      <w:bookmarkStart w:id="807" w:name="Tc_U3nd5QGSV0S8hrRi7q68FQ_9_12"/>
      <w:bookmarkStart w:id="808" w:name="Tc_3-XNOACncEqY9Q_98NfucQ_9_11"/>
      <w:bookmarkStart w:id="809" w:name="Tc_r8CdIrQv8Ea8NI9fx9sz3A_9_10"/>
      <w:bookmarkStart w:id="810" w:name="Tc_51btsO0hr0-bAAOA8IvJoA_9_9"/>
      <w:bookmarkStart w:id="811" w:name="Tc_XFHCfRNib0-FKKINC-a3Gw_9_8"/>
      <w:bookmarkStart w:id="812" w:name="Tc_9LB6D1I9fUGa7mO-m-EEvg_9_7"/>
      <w:bookmarkStart w:id="813" w:name="Tc_9xfUBTphtUeDbgocedgcTw_9_5"/>
      <w:bookmarkStart w:id="814" w:name="Tc_UN7sRHvPNkKsPt_p3-8KVg_9_4"/>
      <w:bookmarkStart w:id="815" w:name="Tc_Ig3NJacXXU2FeQqV1JSqVA_9_2"/>
      <w:bookmarkStart w:id="816" w:name="Tc_PGblH9uW90m1FuOBGcV_3g_9_0"/>
      <w:bookmarkStart w:id="817" w:name="Tc_mKcSEufWcEC-iXnodllamg_8_18"/>
      <w:bookmarkStart w:id="818" w:name="Tc_kTHrRGsEwkiGIqcnW4gJ8Q_8_16"/>
      <w:bookmarkStart w:id="819" w:name="Tc_SLvgUmCthEa5OHsbSBGFEA_8_15"/>
      <w:bookmarkStart w:id="820" w:name="Tc_pDwEynJIaU2R4cw9YwWDHg_8_14"/>
      <w:bookmarkStart w:id="821" w:name="Tc_YIg6Oz7V30SxS7_4zNLMJg_8_13"/>
      <w:bookmarkStart w:id="822" w:name="Tc_v-TGJ-gmNE-ofviNL3cEXQ_8_12"/>
      <w:bookmarkStart w:id="823" w:name="Tc_8Bggcs1tk0eVElT2FJ8GVQ_8_10"/>
      <w:bookmarkStart w:id="824" w:name="Tc_Fg3uIHqVFEmBRUwJ-8JMww_8_8"/>
      <w:bookmarkStart w:id="825" w:name="Tc__9i45OAGRUS0xHyq6LgfmA_8_7"/>
      <w:bookmarkStart w:id="826" w:name="Tc_sprIGVnBKUKIRWmN1L44UA_8_5"/>
      <w:bookmarkStart w:id="827" w:name="Tc_lzSevzlHi0uM05hXBtkUjQ_8_4"/>
      <w:bookmarkStart w:id="828" w:name="Tc_MTzXQbgEUUmYzMjT-3fAKw_8_2"/>
      <w:bookmarkStart w:id="829" w:name="Tc__iBrWd6KoEe9sgpnfg1jqA_8_0"/>
      <w:bookmarkStart w:id="830" w:name="Tc_wX29OVFTHEedExXPZy47QA_7_0"/>
      <w:bookmarkStart w:id="831" w:name="Tc_iKa2xjn86UmLcx3DjrxNWg_6_19"/>
      <w:bookmarkStart w:id="832" w:name="Tc_mpHfwAJOOEqbScbl0sqazQ_6_17"/>
      <w:bookmarkStart w:id="833" w:name="Tc_nTaY4BZLxEO65haIe4-4mw_6_15"/>
      <w:bookmarkStart w:id="834" w:name="Tc_IlgROpV320KHqBZfgwVSsw_6_13"/>
      <w:bookmarkStart w:id="835" w:name="Tc_VBixGfOdBUmTHR28D03Yjg_6_11"/>
      <w:bookmarkStart w:id="836" w:name="Tc_c2UqJ-nfSUKbO6AJCN0v0w_6_9"/>
      <w:bookmarkStart w:id="837" w:name="Tc_iKHaYM4H2kqNw_n2K_QnTQ_6_6"/>
      <w:bookmarkStart w:id="838" w:name="Tc_sJETHmluPk-WZqNliGSlSg_6_2"/>
      <w:bookmarkStart w:id="839" w:name="Tc_o5qTsOAAdEu3tYDT356FeA_5_17"/>
      <w:bookmarkStart w:id="840" w:name="Tc_87cNU_Zxgk6k6qXXfRo-aA_5_12"/>
      <w:bookmarkStart w:id="841" w:name="Tc_RUxr1aqFO0yBNCUr4ROKJw_5_8"/>
      <w:bookmarkStart w:id="842" w:name="Tc_VzOGHcmgwUWRZldGIi3NPg_5_2"/>
      <w:bookmarkStart w:id="843" w:name="Tc_Mppj5TyprkCj7ABXy9DorA_4_12"/>
      <w:bookmarkStart w:id="844" w:name="Tc_gysZ42jkMUWoNjQme8Griw_4_8"/>
      <w:bookmarkStart w:id="845" w:name="Tc_7gm5iUVjlUqR1nKvthVk0g_4_2"/>
      <w:bookmarkStart w:id="846" w:name="Tc_1k-_wKrG3UaPulIxD5LqGA_3_12"/>
      <w:bookmarkStart w:id="847" w:name="Tc_K5EFtL49Kkmf8tfmBtY99Q_3_8"/>
      <w:bookmarkStart w:id="848" w:name="Tc_FVY8dEpjn02tpHiEV4RJZQ_3_2"/>
      <w:bookmarkStart w:id="849" w:name="Tc_zYxSPectpkGU0EHjqn9DoQ_2_2"/>
      <w:bookmarkStart w:id="850" w:name="Tc_n7OHVfOEfE6TCSv85s90PQ_1_2"/>
      <w:bookmarkStart w:id="851" w:name="_2ff789f1_b91f_4240_a30c_11b63bdd2feb"/>
      <w:bookmarkStart w:id="852" w:name="Tc_jNFUZ6bNFUGHL3bFNY7cpg_9_18"/>
      <w:bookmarkStart w:id="853" w:name="Tc_dPLL_88hO0CFVxpild93Sw_9_16"/>
      <w:bookmarkStart w:id="854" w:name="Tc_NOja7BT0BkyyYst13E1YIg_9_15"/>
      <w:bookmarkStart w:id="855" w:name="Tc_B41ugETlSEqh2_A3rJSYKQ_9_14"/>
      <w:bookmarkStart w:id="856" w:name="Tc_RInvsMqdSkCZVzF2GtHYYA_9_13"/>
      <w:bookmarkStart w:id="857" w:name="Tc_U3nd5QGSV0S8hrRi7q68FQ_9_12"/>
      <w:bookmarkStart w:id="858" w:name="Tc_3-XNOACncEqY9Q_98NfucQ_9_11"/>
      <w:bookmarkStart w:id="859" w:name="Tc_r8CdIrQv8Ea8NI9fx9sz3A_9_10"/>
      <w:bookmarkStart w:id="860" w:name="Tc_51btsO0hr0-bAAOA8IvJoA_9_9"/>
      <w:bookmarkStart w:id="861" w:name="Tc_XFHCfRNib0-FKKINC-a3Gw_9_8"/>
      <w:bookmarkStart w:id="862" w:name="Tc_9LB6D1I9fUGa7mO-m-EEvg_9_7"/>
      <w:bookmarkStart w:id="863" w:name="Tc_9xfUBTphtUeDbgocedgcTw_9_5"/>
      <w:bookmarkStart w:id="864" w:name="Tc_UN7sRHvPNkKsPt_p3-8KVg_9_4"/>
      <w:bookmarkStart w:id="865" w:name="Tc_Ig3NJacXXU2FeQqV1JSqVA_9_2"/>
      <w:bookmarkStart w:id="866" w:name="Tc_PGblH9uW90m1FuOBGcV_3g_9_0"/>
      <w:bookmarkStart w:id="867" w:name="Tc_mKcSEufWcEC-iXnodllamg_8_18"/>
      <w:bookmarkStart w:id="868" w:name="Tc_kTHrRGsEwkiGIqcnW4gJ8Q_8_16"/>
      <w:bookmarkStart w:id="869" w:name="Tc_SLvgUmCthEa5OHsbSBGFEA_8_15"/>
      <w:bookmarkStart w:id="870" w:name="Tc_pDwEynJIaU2R4cw9YwWDHg_8_14"/>
      <w:bookmarkStart w:id="871" w:name="Tc_YIg6Oz7V30SxS7_4zNLMJg_8_13"/>
      <w:bookmarkStart w:id="872" w:name="Tc_v-TGJ-gmNE-ofviNL3cEXQ_8_12"/>
      <w:bookmarkStart w:id="873" w:name="Tc_8Bggcs1tk0eVElT2FJ8GVQ_8_10"/>
      <w:bookmarkStart w:id="874" w:name="Tc_Fg3uIHqVFEmBRUwJ-8JMww_8_8"/>
      <w:bookmarkStart w:id="875" w:name="Tc__9i45OAGRUS0xHyq6LgfmA_8_7"/>
      <w:bookmarkStart w:id="876" w:name="Tc_sprIGVnBKUKIRWmN1L44UA_8_5"/>
      <w:bookmarkStart w:id="877" w:name="Tc_lzSevzlHi0uM05hXBtkUjQ_8_4"/>
      <w:bookmarkStart w:id="878" w:name="Tc_MTzXQbgEUUmYzMjT-3fAKw_8_2"/>
      <w:bookmarkStart w:id="879" w:name="Tc__iBrWd6KoEe9sgpnfg1jqA_8_0"/>
      <w:bookmarkStart w:id="880" w:name="Tc_wX29OVFTHEedExXPZy47QA_7_0"/>
      <w:bookmarkStart w:id="881" w:name="Tc_iKa2xjn86UmLcx3DjrxNWg_6_19"/>
      <w:bookmarkStart w:id="882" w:name="Tc_mpHfwAJOOEqbScbl0sqazQ_6_17"/>
      <w:bookmarkStart w:id="883" w:name="Tc_nTaY4BZLxEO65haIe4-4mw_6_15"/>
      <w:bookmarkStart w:id="884" w:name="Tc_IlgROpV320KHqBZfgwVSsw_6_13"/>
      <w:bookmarkStart w:id="885" w:name="Tc_VBixGfOdBUmTHR28D03Yjg_6_11"/>
      <w:bookmarkStart w:id="886" w:name="Tc_c2UqJ-nfSUKbO6AJCN0v0w_6_9"/>
      <w:bookmarkStart w:id="887" w:name="Tc_iKHaYM4H2kqNw_n2K_QnTQ_6_6"/>
      <w:bookmarkStart w:id="888" w:name="Tc_sJETHmluPk-WZqNliGSlSg_6_2"/>
      <w:bookmarkStart w:id="889" w:name="Tc_o5qTsOAAdEu3tYDT356FeA_5_17"/>
      <w:bookmarkStart w:id="890" w:name="Tc_87cNU_Zxgk6k6qXXfRo-aA_5_12"/>
      <w:bookmarkStart w:id="891" w:name="Tc_RUxr1aqFO0yBNCUr4ROKJw_5_8"/>
      <w:bookmarkStart w:id="892" w:name="Tc_VzOGHcmgwUWRZldGIi3NPg_5_2"/>
      <w:bookmarkStart w:id="893" w:name="Tc_Mppj5TyprkCj7ABXy9DorA_4_12"/>
      <w:bookmarkStart w:id="894" w:name="Tc_gysZ42jkMUWoNjQme8Griw_4_8"/>
      <w:bookmarkStart w:id="895" w:name="Tc_7gm5iUVjlUqR1nKvthVk0g_4_2"/>
      <w:bookmarkStart w:id="896" w:name="Tc_1k-_wKrG3UaPulIxD5LqGA_3_12"/>
      <w:bookmarkStart w:id="897" w:name="Tc_K5EFtL49Kkmf8tfmBtY99Q_3_8"/>
      <w:bookmarkStart w:id="898" w:name="Tc_FVY8dEpjn02tpHiEV4RJZQ_3_2"/>
      <w:bookmarkStart w:id="899" w:name="Tc_zYxSPectpkGU0EHjqn9DoQ_2_2"/>
      <w:bookmarkStart w:id="900" w:name="Tc_n7OHVfOEfE6TCSv85s90PQ_1_2"/>
      <w:bookmarkStart w:id="901" w:name="_2ff789f1_b91f_4240_a30c_11b63bdd2feb"/>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p>
    <w:tbl>
      <w:tblPr>
        <w:tblW w:w="10205" w:type="dxa"/>
        <w:jc w:val="left"/>
        <w:tblInd w:w="0" w:type="dxa"/>
        <w:tblLayout w:type="fixed"/>
        <w:tblCellMar>
          <w:top w:w="0" w:type="dxa"/>
          <w:left w:w="0" w:type="dxa"/>
          <w:bottom w:w="0" w:type="dxa"/>
          <w:right w:w="0" w:type="dxa"/>
        </w:tblCellMar>
      </w:tblPr>
      <w:tblGrid>
        <w:gridCol w:w="1976"/>
        <w:gridCol w:w="109"/>
        <w:gridCol w:w="211"/>
        <w:gridCol w:w="571"/>
        <w:gridCol w:w="332"/>
        <w:gridCol w:w="346"/>
        <w:gridCol w:w="571"/>
        <w:gridCol w:w="332"/>
        <w:gridCol w:w="346"/>
        <w:gridCol w:w="676"/>
        <w:gridCol w:w="346"/>
        <w:gridCol w:w="676"/>
        <w:gridCol w:w="346"/>
        <w:gridCol w:w="466"/>
        <w:gridCol w:w="346"/>
        <w:gridCol w:w="466"/>
        <w:gridCol w:w="346"/>
        <w:gridCol w:w="676"/>
        <w:gridCol w:w="346"/>
        <w:gridCol w:w="721"/>
      </w:tblGrid>
      <w:tr>
        <w:trPr/>
        <w:tc>
          <w:tcPr>
            <w:tcW w:w="19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7"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362585" cy="175260"/>
                      <wp:effectExtent l="0" t="0" r="0" b="0"/>
                      <wp:wrapNone/>
                      <wp:docPr id="138" name="Frame13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0820" cy="175260"/>
                      <wp:effectExtent l="0" t="0" r="0" b="0"/>
                      <wp:wrapNone/>
                      <wp:docPr id="139" name="Frame139"/>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0"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362585" cy="175260"/>
                      <wp:effectExtent l="0" t="0" r="0" b="0"/>
                      <wp:wrapNone/>
                      <wp:docPr id="141" name="Frame14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0820" cy="175260"/>
                      <wp:effectExtent l="0" t="0" r="0" b="0"/>
                      <wp:wrapNone/>
                      <wp:docPr id="142" name="Frame142"/>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3"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29260" cy="175260"/>
                      <wp:effectExtent l="0" t="0" r="0" b="0"/>
                      <wp:wrapNone/>
                      <wp:docPr id="144" name="Frame14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5"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29260" cy="175260"/>
                      <wp:effectExtent l="0" t="0" r="0" b="0"/>
                      <wp:wrapNone/>
                      <wp:docPr id="146" name="Frame14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95910" cy="175260"/>
                      <wp:effectExtent l="0" t="0" r="0" b="0"/>
                      <wp:wrapNone/>
                      <wp:docPr id="148" name="Frame148"/>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95910" cy="175260"/>
                      <wp:effectExtent l="0" t="0" r="0" b="0"/>
                      <wp:wrapNone/>
                      <wp:docPr id="150" name="Frame15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1"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29260" cy="175260"/>
                      <wp:effectExtent l="0" t="0" r="0" b="0"/>
                      <wp:wrapNone/>
                      <wp:docPr id="152" name="Frame15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3"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57835" cy="175260"/>
                      <wp:effectExtent l="0" t="0" r="0" b="0"/>
                      <wp:wrapNone/>
                      <wp:docPr id="154" name="Frame15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120" w:type="dxa"/>
            <w:gridSpan w:val="1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 at June 30, 2026 and December 31, 2025</w:t>
            </w:r>
          </w:p>
        </w:tc>
      </w:tr>
      <w:tr>
        <w:trPr/>
        <w:tc>
          <w:tcPr>
            <w:tcW w:w="19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31"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 Price in Active</w:t>
            </w:r>
          </w:p>
        </w:tc>
        <w:tc>
          <w:tcPr>
            <w:tcW w:w="33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pPr>
            <w:r>
              <w:rPr/>
              <w:t>​</w:t>
            </w:r>
          </w:p>
        </w:tc>
      </w:tr>
      <w:tr>
        <w:trPr/>
        <w:tc>
          <w:tcPr>
            <w:tcW w:w="19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31"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 for Identical</w:t>
            </w:r>
          </w:p>
        </w:tc>
        <w:tc>
          <w:tcPr>
            <w:tcW w:w="332" w:type="dxa"/>
            <w:tcBorders/>
            <w:vAlign w:val="center"/>
          </w:tcPr>
          <w:p>
            <w:pPr>
              <w:pStyle w:val="TableContents"/>
              <w:bidi w:val="0"/>
              <w:spacing w:before="0" w:after="1"/>
              <w:ind w:left="0" w:right="0" w:hanging="0"/>
              <w:jc w:val="center"/>
              <w:rPr/>
            </w:pPr>
            <w:r>
              <w:rPr/>
              <w:t>​</w:t>
            </w:r>
          </w:p>
        </w:tc>
        <w:tc>
          <w:tcPr>
            <w:tcW w:w="2044"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c>
          <w:tcPr>
            <w:tcW w:w="1624"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pPr>
            <w:r>
              <w:rPr/>
              <w:t>​</w:t>
            </w:r>
          </w:p>
        </w:tc>
      </w:tr>
      <w:tr>
        <w:trPr/>
        <w:tc>
          <w:tcPr>
            <w:tcW w:w="19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31"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Instruments</w:t>
            </w:r>
          </w:p>
        </w:tc>
        <w:tc>
          <w:tcPr>
            <w:tcW w:w="332" w:type="dxa"/>
            <w:tcBorders/>
            <w:vAlign w:val="center"/>
          </w:tcPr>
          <w:p>
            <w:pPr>
              <w:pStyle w:val="TableContents"/>
              <w:bidi w:val="0"/>
              <w:spacing w:before="0" w:after="1"/>
              <w:ind w:left="0" w:right="0" w:hanging="0"/>
              <w:jc w:val="center"/>
              <w:rPr/>
            </w:pPr>
            <w:r>
              <w:rPr/>
              <w:t>​</w:t>
            </w:r>
          </w:p>
        </w:tc>
        <w:tc>
          <w:tcPr>
            <w:tcW w:w="2044"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 Inputs</w:t>
            </w:r>
          </w:p>
        </w:tc>
        <w:tc>
          <w:tcPr>
            <w:tcW w:w="1624"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 Inputs</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pPr>
            <w:r>
              <w:rPr/>
              <w:t>​</w:t>
            </w:r>
          </w:p>
        </w:tc>
      </w:tr>
      <w:tr>
        <w:trPr/>
        <w:tc>
          <w:tcPr>
            <w:tcW w:w="19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3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32" w:type="dxa"/>
            <w:tcBorders/>
            <w:vAlign w:val="center"/>
          </w:tcPr>
          <w:p>
            <w:pPr>
              <w:pStyle w:val="TableContents"/>
              <w:bidi w:val="0"/>
              <w:spacing w:before="0" w:after="1"/>
              <w:ind w:left="0" w:right="0" w:hanging="0"/>
              <w:jc w:val="center"/>
              <w:rPr/>
            </w:pPr>
            <w:r>
              <w:rPr/>
              <w:t>​</w:t>
            </w:r>
          </w:p>
        </w:tc>
        <w:tc>
          <w:tcPr>
            <w:tcW w:w="204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162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1"/>
              <w:ind w:left="0" w:right="0" w:hanging="0"/>
              <w:jc w:val="left"/>
              <w:rPr/>
            </w:pPr>
            <w:r>
              <w:rPr/>
              <w:t>​</w:t>
            </w:r>
          </w:p>
        </w:tc>
        <w:tc>
          <w:tcPr>
            <w:tcW w:w="174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3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3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9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center"/>
              <w:rPr/>
            </w:pPr>
            <w:r>
              <w:rPr/>
              <w:t>  ​</w:t>
            </w:r>
          </w:p>
        </w:tc>
        <w:tc>
          <w:tcPr>
            <w:tcW w:w="332"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center"/>
              <w:rPr/>
            </w:pPr>
            <w:r>
              <w:rPr/>
              <w:t>  ​</w:t>
            </w:r>
          </w:p>
        </w:tc>
        <w:tc>
          <w:tcPr>
            <w:tcW w:w="332"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center"/>
              <w:rPr/>
            </w:pPr>
            <w:r>
              <w:rPr/>
              <w:t>  ​</w:t>
            </w:r>
          </w:p>
        </w:tc>
      </w:tr>
      <w:tr>
        <w:trPr/>
        <w:tc>
          <w:tcPr>
            <w:tcW w:w="19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2,544</w:t>
            </w:r>
          </w:p>
        </w:tc>
        <w:tc>
          <w:tcPr>
            <w:tcW w:w="332" w:type="dxa"/>
            <w:tcBorders/>
            <w:vAlign w:val="center"/>
          </w:tcPr>
          <w:p>
            <w:pPr>
              <w:pStyle w:val="TableContents"/>
              <w:bidi w:val="0"/>
              <w:spacing w:lineRule="auto" w:line="240" w:before="0" w:after="1"/>
              <w:ind w:left="0" w:right="0" w:hanging="0"/>
              <w:jc w:val="left"/>
              <w:rPr>
                <w:rFonts w:ascii="Times New Roman;Times;serif" w:hAnsi="Times New Roman;Times;serif"/>
                <w:sz w:val="15"/>
              </w:rPr>
            </w:pPr>
            <w:r>
              <w:rPr>
                <w:rFonts w:ascii="Times New Roman;Times;serif" w:hAnsi="Times New Roman;Times;serif"/>
                <w:sz w:val="15"/>
              </w:rPr>
              <w:t>(1)  </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3,072</w:t>
            </w:r>
          </w:p>
        </w:tc>
        <w:tc>
          <w:tcPr>
            <w:tcW w:w="332" w:type="dxa"/>
            <w:tcBorders/>
            <w:vAlign w:val="center"/>
          </w:tcPr>
          <w:p>
            <w:pPr>
              <w:pStyle w:val="TableContents"/>
              <w:bidi w:val="0"/>
              <w:spacing w:lineRule="auto" w:line="240" w:before="0" w:after="1"/>
              <w:ind w:left="0" w:right="0" w:hanging="0"/>
              <w:jc w:val="left"/>
              <w:rPr>
                <w:rFonts w:ascii="Times New Roman;Times;serif" w:hAnsi="Times New Roman;Times;serif"/>
                <w:sz w:val="15"/>
              </w:rPr>
            </w:pPr>
            <w:r>
              <w:rPr>
                <w:rFonts w:ascii="Times New Roman;Times;serif" w:hAnsi="Times New Roman;Times;serif"/>
                <w:sz w:val="15"/>
              </w:rPr>
              <w:t>(1)  </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38,705</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33,716</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41,249</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36,788</w:t>
            </w:r>
          </w:p>
        </w:tc>
      </w:tr>
      <w:tr>
        <w:trPr/>
        <w:tc>
          <w:tcPr>
            <w:tcW w:w="19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Processa common shares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32"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5"/>
              </w:rPr>
            </w:pPr>
            <w:r>
              <w:rPr>
                <w:rFonts w:ascii="Times New Roman;Times;serif" w:hAnsi="Times New Roman;Times;serif"/>
                <w:sz w:val="15"/>
              </w:rPr>
              <w:t>(2)  </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w:t>
            </w:r>
          </w:p>
        </w:tc>
        <w:tc>
          <w:tcPr>
            <w:tcW w:w="332"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5"/>
              </w:rPr>
            </w:pPr>
            <w:r>
              <w:rPr>
                <w:rFonts w:ascii="Times New Roman;Times;serif" w:hAnsi="Times New Roman;Times;serif"/>
                <w:sz w:val="15"/>
              </w:rPr>
              <w:t>(2)  </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8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Company held approximately $2,544 in cash accounts as of June 30, 2026, of which approximately $404 was held in foreign currencies (translated into U.S. dollars). As of December 31, 2025, the Company held approximately $3,072 in cash of which approximately $481 was in foreign currencies (translated into U.S. dollars).</w:t>
            </w:r>
          </w:p>
        </w:tc>
      </w:tr>
    </w:tbl>
    <w:tbl>
      <w:tblPr>
        <w:tblW w:w="8927" w:type="dxa"/>
        <w:jc w:val="left"/>
        <w:tblInd w:w="0" w:type="dxa"/>
        <w:tblLayout w:type="fixed"/>
        <w:tblCellMar>
          <w:top w:w="0" w:type="dxa"/>
          <w:left w:w="0" w:type="dxa"/>
          <w:bottom w:w="0" w:type="dxa"/>
          <w:right w:w="0" w:type="dxa"/>
        </w:tblCellMar>
      </w:tblPr>
      <w:tblGrid>
        <w:gridCol w:w="346"/>
        <w:gridCol w:w="8581"/>
      </w:tblGrid>
      <w:tr>
        <w:trPr/>
        <w:tc>
          <w:tcPr>
            <w:tcW w:w="3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858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Company holds 51 unrestricted common shares of Processa Pharmaceuticals, Inc. (NASDAQ:PCSA).</w:t>
            </w:r>
          </w:p>
        </w:tc>
      </w:tr>
    </w:tbl>
    <w:p>
      <w:pPr>
        <w:pStyle w:val="TextBody"/>
        <w:pBdr/>
        <w:bidi w:val="0"/>
        <w:spacing w:before="0" w:after="0"/>
        <w:ind w:left="0" w:right="0" w:hanging="360"/>
        <w:jc w:val="both"/>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6.    Commitments and Contingencies</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Executive Severance</w:t>
      </w:r>
    </w:p>
    <w:p>
      <w:pPr>
        <w:pStyle w:val="TextBody"/>
        <w:bidi w:val="0"/>
        <w:spacing w:before="0" w:after="160"/>
        <w:ind w:left="0" w:right="0" w:hanging="0"/>
        <w:jc w:val="both"/>
        <w:rPr>
          <w:rFonts w:ascii="Times New Roman;Times;serif" w:hAnsi="Times New Roman;Times;serif"/>
          <w:sz w:val="20"/>
        </w:rPr>
      </w:pPr>
      <w:r>
        <w:rPr>
          <w:rFonts w:ascii="Times New Roman" w:hAnsi="Times New Roman"/>
          <w:sz w:val="20"/>
        </w:rPr>
        <w:t>In the event of termination of Mr. Hackman's (Chief Executive Officer) employment with the Company other than for cause, the Company will be obligated to pay him a one-time severance payment equal to twelve months</w:t>
      </w:r>
      <w:r>
        <w:rPr>
          <w:rFonts w:ascii="Times New Roman;Times;serif" w:hAnsi="Times New Roman;Times;serif"/>
          <w:sz w:val="20"/>
        </w:rPr>
        <w:t xml:space="preserve"> </w:t>
      </w:r>
      <w:r>
        <w:rPr>
          <w:rFonts w:ascii="Times New Roman" w:hAnsi="Times New Roman"/>
          <w:sz w:val="20"/>
        </w:rPr>
        <w:t>of salary (currently $615). In the event of termination of Mr. Andrade’s (Chief Financial Officer) employment with the Company other than for cause, the Company will be obligated to pay him a one-time severance payment equal to nine months</w:t>
      </w:r>
      <w:r>
        <w:rPr>
          <w:rFonts w:ascii="Times New Roman;Times;serif" w:hAnsi="Times New Roman;Times;serif"/>
          <w:sz w:val="20"/>
        </w:rPr>
        <w:t xml:space="preserve"> </w:t>
      </w:r>
      <w:r>
        <w:rPr>
          <w:rFonts w:ascii="Times New Roman" w:hAnsi="Times New Roman"/>
          <w:sz w:val="20"/>
        </w:rPr>
        <w:t>of salary which is equivalent to $361. Further, certain other Executive Employment Agreements generally provide that if employment is terminated without “Cause” (as defined in the applicable Executive Employment Agreement) and other conditions are satisfied, then such executive officer shall receive as severance an amount equal to their then current base salary for a period of nine (9) months, less standard withholdings for tax and social security purposes.</w:t>
      </w:r>
    </w:p>
    <w:p>
      <w:pPr>
        <w:pStyle w:val="TextBody"/>
        <w:bidi w:val="0"/>
        <w:spacing w:before="0" w:after="160"/>
        <w:ind w:left="0" w:right="0" w:hanging="0"/>
        <w:jc w:val="both"/>
        <w:rPr>
          <w:rFonts w:ascii="Times New Roman;Times;serif" w:hAnsi="Times New Roman;Times;serif"/>
          <w:b/>
          <w:sz w:val="20"/>
        </w:rPr>
      </w:pPr>
      <w:r>
        <w:rPr>
          <w:rFonts w:ascii="Times New Roman;Times;serif" w:hAnsi="Times New Roman;Times;serif"/>
          <w:b/>
          <w:sz w:val="20"/>
        </w:rPr>
        <w:t>Leases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has an operating lease in Research Triangle Park, North Carolina utilizing a small space within a commercial building. The operating lease has payments of $0.4 per month with no scheduled increases. This operating lease is terminable with 30 days’ notice and has no penalties or contingent payments due.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January 23, 2020, the Company entered into an Office Service Agreement (the “Office Service Agreement”) with Regus to lease office space in Hoboken, New Jersey. Per the terms of the Office Service Agreement, the monthly rent payments are $1. The Company was required to pay a security deposit of $2, which is the equivalent to two months of rent. The Office Service Agreement commenced on January 27, 2020, and terminated on July 31, 2020, thereafter the lease has been continuing on a month-to-month basis with either party being able to terminate the agreement by providing one month’s advance written notice of termination.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Because the Company’s lease arrangements are short-term or month-to-month in nature, no operating lease liability was recorded on the condensed consolidated balance sheets as of June 30, 2026 or December 31, 2025.</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Employee Benefit Plan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May 2021, the Company established the Fennec Pharmaceuticals, Inc. 401(k) Plan (the “401(k) Plan”) for its employees, which is designed to be qualified under Section 401(k) of the Internal Revenue Code of 1986. Eligible employees are permitted to contribute to the 401(k) Plan within statutory and 401(k) Plan limits. Effective June 1, 2026, the Company began matching employee contributions to the 401(k) Plan at 100% of employee contributions, up to 3% of eligible compensation.</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7.   License Agreement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License Agreement with Norgine Pharma UK Limited</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On March 17, 2024, the Company announced that, through its wholly-owned subsidiary, Fennec Pharmaceuticals, Inc. entered into a License and Supply Agreement (the “Agreement”) with Norgine, pursuant to which Norgine is granted an exclusive license to commercialize the Company’s product PEDMARQSI® (known as PEDMARK</w:t>
      </w:r>
      <w:r>
        <w:rPr>
          <w:rFonts w:ascii="Times New Roman;Times;serif" w:hAnsi="Times New Roman;Times;serif"/>
          <w:sz w:val="15"/>
        </w:rPr>
        <w:t>®</w:t>
      </w:r>
      <w:r>
        <w:rPr>
          <w:rFonts w:ascii="Times New Roman;Times;serif" w:hAnsi="Times New Roman;Times;serif"/>
          <w:sz w:val="20"/>
        </w:rPr>
        <w:t xml:space="preserve"> in the United States) for all human indications in the European Economic Area, Switzerland, the United Kingdom, Australia and New Zealand (collectively, the “Territory”). On July 26, 2024, Norgine and Fennec amended the Agreement. The amended Agreement maintains all principal payment terms with the primary addition of Norgine assuming responsibility for packaging and labeling of PEDMARQSI</w:t>
      </w:r>
      <w:r>
        <w:rPr>
          <w:rFonts w:ascii="Times New Roman;Times;serif" w:hAnsi="Times New Roman;Times;serif"/>
          <w:sz w:val="15"/>
        </w:rPr>
        <w:t>®</w:t>
      </w:r>
      <w:r>
        <w:rPr>
          <w:rFonts w:ascii="Times New Roman;Times;serif" w:hAnsi="Times New Roman;Times;serif"/>
          <w:sz w:val="20"/>
        </w:rPr>
        <w:t>.</w:t>
      </w:r>
    </w:p>
    <w:p>
      <w:pPr>
        <w:pStyle w:val="TextBody"/>
        <w:bidi w:val="0"/>
        <w:spacing w:before="0" w:after="0"/>
        <w:ind w:left="0" w:right="0" w:hanging="0"/>
        <w:jc w:val="both"/>
        <w:rPr/>
      </w:pPr>
      <w:r>
        <w:rPr/>
        <w:t> </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Pursuant to the terms of the Agreement, Fennec shall receive the following payments from Norgine: (i) an upfront payment in the amount of €40 million or approximately $43.2 million, which was paid to Fennec on March 15, 2024, (ii) up to €210 million (or approximately $230 million) upon the achievement of certain regulatory and commercial milestones, and (iii) tiered royalty payments based on net sales of PEDMARQSI</w:t>
      </w:r>
      <w:r>
        <w:rPr>
          <w:rFonts w:ascii="Times New Roman;Times;serif" w:hAnsi="Times New Roman;Times;serif"/>
          <w:sz w:val="15"/>
        </w:rPr>
        <w:t>®</w:t>
      </w:r>
      <w:r>
        <w:rPr>
          <w:rFonts w:ascii="Times New Roman;Times;serif" w:hAnsi="Times New Roman;Times;serif"/>
          <w:sz w:val="20"/>
        </w:rPr>
        <w:t xml:space="preserve"> in the Territory, which royalty payment range from mid-teen percent to mid-twenty percent based on the aggregate net sales of PEDMARQSI</w:t>
      </w:r>
      <w:r>
        <w:rPr>
          <w:rFonts w:ascii="Times New Roman;Times;serif" w:hAnsi="Times New Roman;Times;serif"/>
          <w:sz w:val="15"/>
        </w:rPr>
        <w:t>®</w:t>
      </w:r>
      <w:r>
        <w:rPr>
          <w:rFonts w:ascii="Times New Roman;Times;serif" w:hAnsi="Times New Roman;Times;serif"/>
          <w:sz w:val="20"/>
        </w:rPr>
        <w:t xml:space="preserve"> in the Territory. The tiered royalty payments are subject to material reduction if an alternative or generic version of PEDMARQSI</w:t>
      </w:r>
      <w:r>
        <w:rPr>
          <w:rFonts w:ascii="Times New Roman;Times;serif" w:hAnsi="Times New Roman;Times;serif"/>
          <w:sz w:val="15"/>
        </w:rPr>
        <w:t>®</w:t>
      </w:r>
      <w:r>
        <w:rPr>
          <w:rFonts w:ascii="Times New Roman;Times;serif" w:hAnsi="Times New Roman;Times;serif"/>
          <w:sz w:val="20"/>
        </w:rPr>
        <w:t xml:space="preserve"> becomes available in any respective country or jurisdiction within the Territory.</w:t>
      </w:r>
    </w:p>
    <w:p>
      <w:pPr>
        <w:pStyle w:val="TextBody"/>
        <w:bidi w:val="0"/>
        <w:spacing w:before="0" w:after="0"/>
        <w:ind w:left="0" w:right="0" w:hanging="0"/>
        <w:jc w:val="both"/>
        <w:rPr/>
      </w:pPr>
      <w:r>
        <w:rPr/>
        <w:t> </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Subject to customary rights of each party to earlier terminate the Agreement, the term of the Agreement continues for the longer of: (i) March 15, 2034, or (ii) with respect to any particular country in the Territory, (a) the expiration of regulatory market exclusivity for PEDMARQSI</w:t>
      </w:r>
      <w:r>
        <w:rPr>
          <w:rFonts w:ascii="Times New Roman;Times;serif" w:hAnsi="Times New Roman;Times;serif"/>
          <w:sz w:val="15"/>
        </w:rPr>
        <w:t>®</w:t>
      </w:r>
      <w:r>
        <w:rPr>
          <w:rFonts w:ascii="Times New Roman;Times;serif" w:hAnsi="Times New Roman;Times;serif"/>
          <w:sz w:val="20"/>
        </w:rPr>
        <w:t xml:space="preserve"> in such country, or (b) the last-to-expire of all patents for PEDMARQSI</w:t>
      </w:r>
      <w:r>
        <w:rPr>
          <w:rFonts w:ascii="Times New Roman;Times;serif" w:hAnsi="Times New Roman;Times;serif"/>
          <w:sz w:val="15"/>
        </w:rPr>
        <w:t>®</w:t>
      </w:r>
      <w:r>
        <w:rPr>
          <w:rFonts w:ascii="Times New Roman;Times;serif" w:hAnsi="Times New Roman;Times;serif"/>
          <w:sz w:val="20"/>
        </w:rPr>
        <w:t xml:space="preserve"> in such country. The term of the Agreement shall be automatically renewed for additional three-year periods unless either party provides the other party written notice of its intent not to renew the Agreement at least one year prior to the applicable termination date of the Agreement.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evaluated the Agreement under ASC 606 and concluded that Norgine is a customer in the arrangement. The Company identified two performance obligations under the Agreement: a license of functional intellectual property and a material right for future supply. A portion of the non-refundable upfront payment was allocated to the license and recognized as license revenue in 2024, and the portion associated with the material right was deferred and is reflected as contract liabilities in the condensed consolidated balance sheets.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and December 31, 2025, contract liabilities related to the Agreement were $24,099 and $24,809, respectively, consisting of $3,182 classified as current and $20,917 classified as long-term. For the six months ended June 30, 2026, the Company recognized $710 of revenue related to the deferred material right and $326 of royalty revenue under the Agreement. No milestone was recognized during the period.</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In conjunction with entering into the Agreement, the Company paid approximately $1,700 in incremental costs, which were capitalized and recorded within Other non-current assets.  The Company amortizes the asset over the period of expected benefit using a systematic basis that reflects the pattern of transfer to Norgine. A portion that represents the license was recognized immediately and is recorded within selling and marketing expense in the consolidated statements of operations. As of June 30, 2026, $666 in incremental cost was capitalized.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8.    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accounts for income taxes under ASC 740, </w:t>
      </w:r>
      <w:r>
        <w:rPr>
          <w:rFonts w:ascii="Times New Roman;Times;serif" w:hAnsi="Times New Roman;Times;serif"/>
          <w:i/>
          <w:sz w:val="20"/>
        </w:rPr>
        <w:t>Income Taxes</w:t>
      </w:r>
      <w:r>
        <w:rPr>
          <w:rFonts w:ascii="Times New Roman;Times;serif" w:hAnsi="Times New Roman;Times;serif"/>
          <w:sz w:val="20"/>
        </w:rPr>
        <w:t xml:space="preserve">. The income tax provision for interim periods is determined using an estimate of the Company’s annual effective tax rate, adjusted for discrete items, if any, recognized in the period in which they occur.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For the three and six months ended June 30, 2026, the Company recorded an income tax provision of $42, compared to no income tax provision for the three and six months ended June 30, 2025. The 2026 provision relates primarily to state income taxes, as federal taxable income was substantially offset by available net operating loss carryforwards. No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provision was recorded in the 2025 periods, in which the Company incurred net losses. The Company continues to maintain a full valuation allowance against its deferred tax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continues to maintain a valuation allowance against deferred tax assets for jurisdictions where, based on all available evidence, it is more likely than not that such deferred tax assets will not be realized. The Company will continue to evaluate the realizability of deferred tax assets in future periods, including the impact of sustained profitability, future taxable income and the reversal of temporary differences.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9.   Segment Reporting</w:t>
      </w:r>
    </w:p>
    <w:p>
      <w:pPr>
        <w:pStyle w:val="TextBody"/>
        <w:bidi w:val="0"/>
        <w:spacing w:lineRule="auto" w:line="240" w:before="240" w:after="0"/>
        <w:ind w:left="0" w:right="0" w:hanging="0"/>
        <w:jc w:val="both"/>
        <w:rPr>
          <w:rFonts w:ascii="Times New Roman;Times;serif" w:hAnsi="Times New Roman;Times;serif"/>
          <w:sz w:val="20"/>
        </w:rPr>
      </w:pPr>
      <w:r>
        <w:rPr>
          <w:rFonts w:ascii="Times New Roman;Times;serif" w:hAnsi="Times New Roman;Times;serif"/>
          <w:sz w:val="20"/>
        </w:rPr>
        <w:t xml:space="preserve">Operating segments are defined as components of an enterprise engaging in business activities for which discrete financial information is available and regularly reviewed by the chief operating decision maker (“CODM”) in deciding how to allocate resources and assess performance. The Company operates as a </w:t>
      </w:r>
      <w:r>
        <w:rPr>
          <w:rFonts w:ascii="Times New Roman;Times;serif" w:hAnsi="Times New Roman;Times;serif"/>
          <w:b w:val="false"/>
          <w:i w:val="false"/>
          <w:caps w:val="false"/>
          <w:smallCaps w:val="false"/>
          <w:sz w:val="20"/>
        </w:rPr>
        <w:t>single</w:t>
      </w:r>
      <w:r>
        <w:rPr>
          <w:rFonts w:ascii="Times New Roman;Times;serif" w:hAnsi="Times New Roman;Times;serif"/>
          <w:sz w:val="20"/>
        </w:rPr>
        <w:t xml:space="preserve"> operating and reportable segment focused on the commercialization of PEDMARK®/PEDMARQSI</w:t>
      </w:r>
      <w:r>
        <w:rPr>
          <w:rFonts w:ascii="Times New Roman;Times;serif" w:hAnsi="Times New Roman;Times;serif"/>
          <w:sz w:val="15"/>
        </w:rPr>
        <w:t>®</w:t>
      </w:r>
      <w:r>
        <w:rPr>
          <w:rFonts w:ascii="Times New Roman;Times;serif" w:hAnsi="Times New Roman;Times;serif"/>
          <w:sz w:val="20"/>
        </w:rPr>
        <w:t>.</w:t>
      </w:r>
    </w:p>
    <w:p>
      <w:pPr>
        <w:pStyle w:val="TextBody"/>
        <w:bidi w:val="0"/>
        <w:spacing w:before="240" w:after="0"/>
        <w:ind w:left="0" w:right="0" w:hanging="0"/>
        <w:jc w:val="both"/>
        <w:rPr>
          <w:rFonts w:ascii="Times New Roman;Times;serif" w:hAnsi="Times New Roman;Times;serif"/>
          <w:sz w:val="20"/>
        </w:rPr>
      </w:pPr>
      <w:r>
        <w:rPr>
          <w:rFonts w:ascii="Times New Roman;Times;serif" w:hAnsi="Times New Roman;Times;serif"/>
          <w:sz w:val="20"/>
        </w:rPr>
        <w:t>The Company’s CODM is its Chief Executive Officer. The CODM reviews consolidated net income (loss) to assess performance, make operating decisions and allocate resources. This measure is reported on the condensed consolidated statements of operations.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accounting policies of the operating segment are the same as those described in Note 2, Significant Accounting Policies. Segment assets are reported on the condensed consolidated balance sheets as total assets. The CODM also reviews significant expense categories, which are presented on the condensed consolidated statements of operations, including cost of product sales, research and development, selling and marketing, and general and administrative expenses.</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10.    Subsequent Events</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Management has evaluated subsequent events through the date of this filing and concluded there are no events of significance which require disclosure.</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902" w:name="Item2ManagementsDiscussionandAnalysisofF"/>
      <w:bookmarkStart w:id="903" w:name="_a0dcd59a_59f0_4687_a6fd_e9b21f4714ec"/>
      <w:bookmarkEnd w:id="902"/>
      <w:bookmarkEnd w:id="903"/>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Caution Concerning Forward-Looking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discussion and analysis of our financial condition and results of operations should be read in conjunction with our Annual Report on Form 10-K for the fiscal year ended December 31, 2025, filed with the SEC on March 27, 2026 (the “Annual Report”) and our unaudited interim condensed consolidated financial statements and related notes appearing in this Quarterly Report on Form 10-Q (the “Quarterly Report”). Some of the information contained in this discussion and analysis or set forth elsewhere in this Quarterly Report, including information with respect to our plans and strategy for our business, includes forward looking statements, within the meaning of the Private Securities Litigation Reform Act of 1995, that involve risks and uncertainties. Forward-looking statements provide current expectations of future events based on certain assumptions and include any statement that does not directly relate to any historical or current fact. Forward-looking statements can be identified by words such as “future,” “anticipates,” “believes,” “estimates,” “expects,” “intends,” “plans,” “predicts,” “will,” “would,” “could,” “can,” “may,” and similar terms. Forward-looking statements are not guarantees of future performance and our actual results may differ significantly from the results discussed in the forward-looking statements. As a result of many factors, including those factors set forth in Part I, Item 1A of the Annual Report under the heading “Risk Factors”, our actual results could differ materially from the results described in, or implied by, the forward-looking statements contained in the following discussion and analysis.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val="false"/>
          <w:sz w:val="20"/>
        </w:rPr>
        <w:t>The following discussion should be read in conjunction with our Annual Report on Form 10-K for the year ended December</w:t>
      </w:r>
      <w:r>
        <w:rPr>
          <w:rFonts w:ascii="Times New Roman;Times;serif" w:hAnsi="Times New Roman;Times;serif"/>
          <w:b/>
          <w:sz w:val="20"/>
        </w:rPr>
        <w:t xml:space="preserve"> </w:t>
      </w:r>
      <w:r>
        <w:rPr>
          <w:rFonts w:ascii="Times New Roman;Times;serif" w:hAnsi="Times New Roman;Times;serif"/>
          <w:b w:val="false"/>
          <w:sz w:val="20"/>
        </w:rPr>
        <w:t>31, 2025, and the condensed consolidated financial statements and accompanying</w:t>
      </w:r>
      <w:r>
        <w:rPr>
          <w:rFonts w:ascii="Times New Roman;Times;serif" w:hAnsi="Times New Roman;Times;serif"/>
          <w:b/>
          <w:sz w:val="20"/>
        </w:rPr>
        <w:t xml:space="preserve"> </w:t>
      </w:r>
      <w:r>
        <w:rPr>
          <w:rFonts w:ascii="Times New Roman;Times;serif" w:hAnsi="Times New Roman;Times;serif"/>
          <w:b w:val="false"/>
          <w:sz w:val="20"/>
        </w:rPr>
        <w:t>notes included elsewhere in this report.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Fennec Pharmaceuticals Inc., a corporation existing under the laws of British Columbia, was originally formed under the name Adherex Technologies Inc. and subsequently changed its name on September 3, 2014. Fennec is a commercial stage specialty pharmaceutical company dedicated to preventing cisplatin-induced ototoxicity (“CIO”), a serious and often irreversible side effect of cancer treatment, with one FDA approved and European Commission approved product, PEDMARK</w:t>
      </w:r>
      <w:r>
        <w:rPr>
          <w:rFonts w:ascii="Times New Roman;Times;serif" w:hAnsi="Times New Roman;Times;serif"/>
          <w:sz w:val="15"/>
        </w:rPr>
        <w:t>®</w:t>
      </w:r>
      <w:r>
        <w:rPr>
          <w:rFonts w:ascii="Times New Roman;Times;serif" w:hAnsi="Times New Roman;Times;serif"/>
          <w:sz w:val="20"/>
        </w:rPr>
        <w:t xml:space="preserve"> in the U.S. and PEDMARQSI</w:t>
      </w:r>
      <w:r>
        <w:rPr>
          <w:rFonts w:ascii="Times New Roman;Times;serif" w:hAnsi="Times New Roman;Times;serif"/>
          <w:sz w:val="15"/>
        </w:rPr>
        <w:t>®</w:t>
      </w:r>
      <w:r>
        <w:rPr>
          <w:rFonts w:ascii="Times New Roman;Times;serif" w:hAnsi="Times New Roman;Times;serif"/>
          <w:sz w:val="20"/>
        </w:rPr>
        <w:t>, which is the branded name for PEDMARK</w:t>
      </w:r>
      <w:r>
        <w:rPr>
          <w:rFonts w:ascii="Times New Roman;Times;serif" w:hAnsi="Times New Roman;Times;serif"/>
          <w:sz w:val="15"/>
        </w:rPr>
        <w:t>®</w:t>
      </w:r>
      <w:r>
        <w:rPr>
          <w:rFonts w:ascii="Times New Roman;Times;serif" w:hAnsi="Times New Roman;Times;serif"/>
          <w:sz w:val="20"/>
        </w:rPr>
        <w:t xml:space="preserve"> outside of the U.S. (collectively, “PEDMARK”), developed to reduce the risk of ototoxicity associated with cisplatin in pediatric patients one month of age and older with localized, non-metastatic solid tumors. The Company has four wholly owned subsidiaries: Oxiquant, Inc. and Fennec Pharmaceuticals, Inc., both Delaware corporations, Cadherin Biomedical Inc., a Canadian corporation, and Fennec Pharmaceuticals (EU) Limited, an Ireland company (“Fennec Limited”). With the exception of Fennec Pharmaceuticals, Inc., all subsidiaries are inactive. On September 20, 2022, we received approval from the FDA for PEDMARK</w:t>
      </w:r>
      <w:r>
        <w:rPr>
          <w:rFonts w:ascii="Times New Roman;Times;serif" w:hAnsi="Times New Roman;Times;serif"/>
          <w:sz w:val="15"/>
        </w:rPr>
        <w:t>®</w:t>
      </w:r>
      <w:r>
        <w:rPr>
          <w:rFonts w:ascii="Times New Roman;Times;serif" w:hAnsi="Times New Roman;Times;serif"/>
          <w:sz w:val="20"/>
        </w:rPr>
        <w:t xml:space="preserve"> (sodium thiosulfate injection). This approval makes PEDMARK</w:t>
      </w:r>
      <w:r>
        <w:rPr>
          <w:rFonts w:ascii="Times New Roman;Times;serif" w:hAnsi="Times New Roman;Times;serif"/>
          <w:sz w:val="15"/>
        </w:rPr>
        <w:t>®</w:t>
      </w:r>
      <w:r>
        <w:rPr>
          <w:rFonts w:ascii="Times New Roman;Times;serif" w:hAnsi="Times New Roman;Times;serif"/>
          <w:sz w:val="20"/>
        </w:rPr>
        <w:t xml:space="preserve"> the first and only treatment approved by the FDA in this area of significant unmet medical need.  On October 17, 2022, we announced commercial availability of PEDMARK</w:t>
      </w:r>
      <w:r>
        <w:rPr>
          <w:rFonts w:ascii="Times New Roman;Times;serif" w:hAnsi="Times New Roman;Times;serif"/>
          <w:sz w:val="15"/>
        </w:rPr>
        <w:t>®</w:t>
      </w:r>
      <w:r>
        <w:rPr>
          <w:rFonts w:ascii="Times New Roman;Times;serif" w:hAnsi="Times New Roman;Times;serif"/>
          <w:sz w:val="20"/>
        </w:rPr>
        <w:t xml:space="preserve"> in the United States. Further, PEDMARQSI</w:t>
      </w:r>
      <w:r>
        <w:rPr>
          <w:rFonts w:ascii="Times New Roman;Times;serif" w:hAnsi="Times New Roman;Times;serif"/>
          <w:sz w:val="15"/>
        </w:rPr>
        <w:t>®</w:t>
      </w:r>
      <w:r>
        <w:rPr>
          <w:rFonts w:ascii="Times New Roman;Times;serif" w:hAnsi="Times New Roman;Times;serif"/>
          <w:sz w:val="20"/>
        </w:rPr>
        <w:t xml:space="preserve"> received European Commission Marketing Authorization in June 2023 and received U.K. approval in October 2023.</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PEDMARK</w:t>
      </w:r>
      <w:r>
        <w:rPr>
          <w:rFonts w:ascii="Times New Roman;Times;serif" w:hAnsi="Times New Roman;Times;serif"/>
          <w:sz w:val="15"/>
        </w:rPr>
        <w:t>®</w:t>
      </w:r>
      <w:r>
        <w:rPr>
          <w:rFonts w:ascii="Times New Roman;Times;serif" w:hAnsi="Times New Roman;Times;serif"/>
          <w:sz w:val="20"/>
        </w:rPr>
        <w:t xml:space="preserve"> is currently the only FDA-approved therapy indicated to reduce the risk of ototoxicity associated with cisplatin in pediatric patients one month of age and older with localized, non-metastatic solid tumors. In clinical studies in this population, treatment with PEDMARK</w:t>
      </w:r>
      <w:r>
        <w:rPr>
          <w:rFonts w:ascii="Times New Roman;Times;serif" w:hAnsi="Times New Roman;Times;serif"/>
          <w:sz w:val="15"/>
        </w:rPr>
        <w:t>®</w:t>
      </w:r>
      <w:r>
        <w:rPr>
          <w:rFonts w:ascii="Times New Roman;Times;serif" w:hAnsi="Times New Roman;Times;serif"/>
          <w:sz w:val="20"/>
        </w:rPr>
        <w:t xml:space="preserve"> resulted in an approximate 50% relative reduction in the incidence of cisplatin-induced hearing loss compared to cisplatin alone, without evidence of materially compromised antitumor efficacy. PEDMARK</w:t>
      </w:r>
      <w:r>
        <w:rPr>
          <w:rFonts w:ascii="Times New Roman;Times;serif" w:hAnsi="Times New Roman;Times;serif"/>
          <w:sz w:val="15"/>
        </w:rPr>
        <w:t>®</w:t>
      </w:r>
      <w:r>
        <w:rPr>
          <w:rFonts w:ascii="Times New Roman;Times;serif" w:hAnsi="Times New Roman;Times;serif"/>
          <w:sz w:val="20"/>
        </w:rPr>
        <w:t xml:space="preserve"> is administered as a short intravenous infusion and has generally been associated with a mild-to-moderate and manageable safety profile consistent with its known pharmacology.</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In March 2024, we announced that we entered into an agreement with Norgine, a leading European specialist pharmaceutical company. This is an exclusive licensing agreement under which Norgine will commercialize PEDMARQSI</w:t>
      </w:r>
      <w:r>
        <w:rPr>
          <w:rFonts w:ascii="Times New Roman;Times;serif" w:hAnsi="Times New Roman;Times;serif"/>
          <w:i/>
          <w:sz w:val="15"/>
        </w:rPr>
        <w:t>®</w:t>
      </w:r>
      <w:r>
        <w:rPr>
          <w:rFonts w:ascii="Times New Roman;Times;serif" w:hAnsi="Times New Roman;Times;serif"/>
          <w:sz w:val="20"/>
        </w:rPr>
        <w:t xml:space="preserve"> in Europe, Australia and New Zealand. PEDMARQSI</w:t>
      </w:r>
      <w:r>
        <w:rPr>
          <w:rFonts w:ascii="Times New Roman;Times;serif" w:hAnsi="Times New Roman;Times;serif"/>
          <w:i/>
          <w:sz w:val="15"/>
        </w:rPr>
        <w:t xml:space="preserve">® </w:t>
      </w:r>
      <w:r>
        <w:rPr>
          <w:rFonts w:ascii="Times New Roman;Times;serif" w:hAnsi="Times New Roman;Times;serif"/>
          <w:sz w:val="20"/>
        </w:rPr>
        <w:t>is the first and only approved therapy in the EU and U.K. for the prevention of ototoxicity (hearing loss) induced by cisplatin chemotherapy in patients one month to eighteen years of age with localized, non-metastatic solid tumors. During 2025, Norgine made PEDMARQSI</w:t>
      </w:r>
      <w:r>
        <w:rPr>
          <w:rFonts w:ascii="Times New Roman;Times;serif" w:hAnsi="Times New Roman;Times;serif"/>
          <w:i/>
          <w:sz w:val="15"/>
        </w:rPr>
        <w:t>®</w:t>
      </w:r>
      <w:r>
        <w:rPr>
          <w:rFonts w:ascii="Times New Roman;Times;serif" w:hAnsi="Times New Roman;Times;serif"/>
          <w:sz w:val="20"/>
        </w:rPr>
        <w:t xml:space="preserve"> commercially available in the U.K. and Germany and expects additional launches to occur in 2026 and beyond.</w:t>
      </w:r>
    </w:p>
    <w:p>
      <w:pPr>
        <w:pStyle w:val="TextBody"/>
        <w:bidi w:val="0"/>
        <w:spacing w:before="0" w:after="0"/>
        <w:ind w:left="0" w:right="0" w:hanging="0"/>
        <w:jc w:val="left"/>
        <w:rPr/>
      </w:pPr>
      <w:r>
        <w:rPr/>
        <w:t>​</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Under the terms of the Norgine licensing agreement, Fennec received approximately $43 million in upfront consideration and may receive up to approximately $230 million in additional commercial and regulatory milestone payments and double-digit tiered royalties (up to the mid-twenties) on net sales of PEDMARQSI</w:t>
      </w:r>
      <w:r>
        <w:rPr>
          <w:rFonts w:ascii="Times New Roman;Times;serif" w:hAnsi="Times New Roman;Times;serif"/>
          <w:i/>
          <w:sz w:val="15"/>
        </w:rPr>
        <w:t>®</w:t>
      </w:r>
      <w:r>
        <w:rPr>
          <w:rFonts w:ascii="Times New Roman;Times;serif" w:hAnsi="Times New Roman;Times;serif"/>
          <w:sz w:val="20"/>
        </w:rPr>
        <w:t xml:space="preserve"> in the licensed territories. To date, Fennec has not received any milestone payments. Norgine will be responsible for all commercialization activities in the licensed territories and will hold all marketing authorizations in the licensed territories.</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In the United States, we sell our product through an experienced field force including Territory Managers and we utilize medical science liaisons within our medical team who help educate the medical communities and patients about CIO and our programs supporting patient access to PEDMARK</w:t>
      </w:r>
      <w:r>
        <w:rPr>
          <w:rFonts w:ascii="Times New Roman;Times;serif" w:hAnsi="Times New Roman;Times;serif"/>
          <w:sz w:val="15"/>
        </w:rPr>
        <w:t>®</w:t>
      </w:r>
      <w:r>
        <w:rPr>
          <w:rFonts w:ascii="Times New Roman;Times;serif" w:hAnsi="Times New Roman;Times;serif"/>
          <w:sz w:val="20"/>
        </w:rPr>
        <w:t xml:space="preserve">. </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Further, we have established Fennec HEARS</w:t>
      </w:r>
      <w:r>
        <w:rPr>
          <w:rFonts w:ascii="Times New Roman;Times;serif" w:hAnsi="Times New Roman;Times;serif"/>
          <w:sz w:val="15"/>
        </w:rPr>
        <w:t>®</w:t>
      </w:r>
      <w:r>
        <w:rPr>
          <w:rFonts w:ascii="Times New Roman;Times;serif" w:hAnsi="Times New Roman;Times;serif"/>
          <w:sz w:val="20"/>
        </w:rPr>
        <w:t>, a comprehensive single source program designed to connect PEDMARK</w:t>
      </w:r>
      <w:r>
        <w:rPr>
          <w:rFonts w:ascii="Times New Roman;Times;serif" w:hAnsi="Times New Roman;Times;serif"/>
          <w:sz w:val="15"/>
        </w:rPr>
        <w:t>®</w:t>
      </w:r>
      <w:r>
        <w:rPr>
          <w:rFonts w:ascii="Times New Roman;Times;serif" w:hAnsi="Times New Roman;Times;serif"/>
          <w:sz w:val="20"/>
        </w:rPr>
        <w:t xml:space="preserve"> patients to both patient financial and product access support. The program offers assistance and resources, regardless of insurance type, that can address co-pays or lack of coverage when certain eligibility requirements are met. Fennec HEARS</w:t>
      </w:r>
      <w:r>
        <w:rPr>
          <w:rFonts w:ascii="Times New Roman;Times;serif" w:hAnsi="Times New Roman;Times;serif"/>
          <w:sz w:val="15"/>
        </w:rPr>
        <w:t>®</w:t>
      </w:r>
      <w:r>
        <w:rPr>
          <w:rFonts w:ascii="Times New Roman;Times;serif" w:hAnsi="Times New Roman;Times;serif"/>
          <w:sz w:val="20"/>
        </w:rPr>
        <w:t xml:space="preserve"> also provides access to care coordinators that can answer insurance questions about coverage for PEDMARK</w:t>
      </w:r>
      <w:r>
        <w:rPr>
          <w:rFonts w:ascii="Times New Roman;Times;serif" w:hAnsi="Times New Roman;Times;serif"/>
          <w:sz w:val="15"/>
        </w:rPr>
        <w:t>®</w:t>
      </w:r>
      <w:r>
        <w:rPr>
          <w:rFonts w:ascii="Times New Roman;Times;serif" w:hAnsi="Times New Roman;Times;serif"/>
          <w:sz w:val="20"/>
        </w:rPr>
        <w:t xml:space="preserve"> and provide tips and resources for managing treatment.  </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We received Orphan Drug Exclusivity for PEDMARK</w:t>
      </w:r>
      <w:r>
        <w:rPr>
          <w:rFonts w:ascii="Times New Roman;Times;serif" w:hAnsi="Times New Roman;Times;serif"/>
          <w:sz w:val="15"/>
        </w:rPr>
        <w:t>®</w:t>
      </w:r>
      <w:r>
        <w:rPr>
          <w:rFonts w:ascii="Times New Roman;Times;serif" w:hAnsi="Times New Roman;Times;serif"/>
          <w:sz w:val="20"/>
        </w:rPr>
        <w:t xml:space="preserve"> in January 2023, which provides seven years of market exclusivity from its FDA approval on September 20, 2022, until September 20, 2029. We currently have six patents listed for PEDMARK</w:t>
      </w:r>
      <w:r>
        <w:rPr>
          <w:rFonts w:ascii="Times New Roman;Times;serif" w:hAnsi="Times New Roman;Times;serif"/>
          <w:sz w:val="15"/>
        </w:rPr>
        <w:t>®</w:t>
      </w:r>
      <w:r>
        <w:rPr>
          <w:rFonts w:ascii="Times New Roman;Times;serif" w:hAnsi="Times New Roman;Times;serif"/>
          <w:sz w:val="20"/>
        </w:rPr>
        <w:t xml:space="preserve"> in the FDA’s </w:t>
      </w:r>
      <w:r>
        <w:rPr>
          <w:rFonts w:ascii="Times New Roman;Times;serif" w:hAnsi="Times New Roman;Times;serif"/>
          <w:sz w:val="20"/>
          <w:shd w:fill="FFFFFF" w:val="clear"/>
        </w:rPr>
        <w:t>Approved Drug Products with Therapeutic Equivalence Evaluations</w:t>
      </w:r>
      <w:r>
        <w:rPr>
          <w:rFonts w:ascii="Times New Roman;Times;serif" w:hAnsi="Times New Roman;Times;serif"/>
          <w:sz w:val="20"/>
        </w:rPr>
        <w:t xml:space="preserve"> (“FDA Orange Book”).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In September 2022, the United States Patent and Trademark Office (“USPTO”) issued Patent No. 11,291,728 (the “US ‘728 Patent”), in December 2022, the USPTO issued Patent No. 11,510,984 (“US ‘984 Patent”) and in April 2023, the USPTO issued Patent No. 11,671,793 (“US ‘793 Patent”) that covers PEDMARK</w:t>
      </w:r>
      <w:r>
        <w:rPr>
          <w:rFonts w:ascii="Times New Roman;Times;serif" w:hAnsi="Times New Roman;Times;serif"/>
          <w:sz w:val="15"/>
        </w:rPr>
        <w:t>®</w:t>
      </w:r>
      <w:r>
        <w:rPr>
          <w:rFonts w:ascii="Times New Roman;Times;serif" w:hAnsi="Times New Roman;Times;serif"/>
          <w:sz w:val="20"/>
        </w:rPr>
        <w:t xml:space="preserve"> pharmaceutical formulation. Further, additional issued patents included US 11,964,018 Patent (the “US ‘018 Patent) and US 11,992,530 Patent (the “US ‘530 Patent”) and US 11,998,604 Patent (the “US ‘604 Patent”) covering methods of using our PEDMARK</w:t>
      </w:r>
      <w:r>
        <w:rPr>
          <w:rFonts w:ascii="Times New Roman;Times;serif" w:hAnsi="Times New Roman;Times;serif"/>
          <w:sz w:val="15"/>
        </w:rPr>
        <w:t>®</w:t>
      </w:r>
      <w:r>
        <w:rPr>
          <w:rFonts w:ascii="Times New Roman;Times;serif" w:hAnsi="Times New Roman;Times;serif"/>
          <w:sz w:val="20"/>
        </w:rPr>
        <w:t xml:space="preserve"> product to reduce ototoxicity in a patient receiving a platinum based chemotherapeutic for the treatment of a cancer. The US ‘728, US ‘984, US ‘793, US ‘018, US ‘530, and US ‘604 Patents will expire in 2039. Additional patents covering PEDMARK</w:t>
      </w:r>
      <w:r>
        <w:rPr>
          <w:rFonts w:ascii="Times New Roman;Times;serif" w:hAnsi="Times New Roman;Times;serif"/>
          <w:sz w:val="15"/>
        </w:rPr>
        <w:t>®</w:t>
      </w:r>
      <w:r>
        <w:rPr>
          <w:rFonts w:ascii="Times New Roman;Times;serif" w:hAnsi="Times New Roman;Times;serif"/>
          <w:sz w:val="20"/>
        </w:rPr>
        <w:t xml:space="preserve"> formulation have been granted in Australia, Canada, the European Patent Office (EPO) (described further below), Hong Kong, Indonesia, Japan, Korea, Malaysia, Mexico, and Russia, and patent applications covering PEDMARK</w:t>
      </w:r>
      <w:r>
        <w:rPr>
          <w:rFonts w:ascii="Times New Roman;Times;serif" w:hAnsi="Times New Roman;Times;serif"/>
          <w:sz w:val="15"/>
        </w:rPr>
        <w:t>®</w:t>
      </w:r>
      <w:r>
        <w:rPr>
          <w:rFonts w:ascii="Times New Roman;Times;serif" w:hAnsi="Times New Roman;Times;serif"/>
          <w:sz w:val="20"/>
        </w:rPr>
        <w:t xml:space="preserve"> are pending in Brazil, China, the European Patent Office (EPO), Hong Kong, Israel, Korea, Mexico, New Zealand, Singapore, and Thailand.  Patents covering alternative sodium thiosulfate formulations have been granted in the United States (US 12,311,026 (the “US ‘026 Patent”), Canada, Korea, Mexico, and Russia, and patent applications covering alternative sodium thiosulfate formulations are pending in the United States, Australia, the EPO, Hong Kong, Indonesia, Japan, Malaysia, Mexico, and New Zealand. Applications from these patent families, where granted, valid, and enforceable, will expire in July 2039, exclusive of any patent term adjustment or extension.</w:t>
      </w:r>
    </w:p>
    <w:p>
      <w:pPr>
        <w:pStyle w:val="TextBody"/>
        <w:bidi w:val="0"/>
        <w:spacing w:before="0" w:after="0"/>
        <w:ind w:left="0" w:right="0" w:hanging="0"/>
        <w:jc w:val="both"/>
        <w:rPr/>
      </w:pPr>
      <w:r>
        <w:rPr/>
        <w: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On March 16, 2026, we announced that we had entered into a settlement and license agreement with Cipla Limited and Cipla USA, Inc. resolving the PEDMARK</w:t>
      </w:r>
      <w:r>
        <w:rPr>
          <w:rFonts w:ascii="Times New Roman;Times;serif" w:hAnsi="Times New Roman;Times;serif"/>
          <w:sz w:val="15"/>
        </w:rPr>
        <w:t>®</w:t>
      </w:r>
      <w:r>
        <w:rPr>
          <w:rFonts w:ascii="Times New Roman;Times;serif" w:hAnsi="Times New Roman;Times;serif"/>
          <w:sz w:val="20"/>
        </w:rPr>
        <w:t xml:space="preserve"> patent litigation pending in the United States District Court for the District of New Jersey. Under the terms of the agreement, the lawsuit will be dismissed with each party bearing its own costs, and Cipla will not enter the U.S. market with its generic sodium thiosulfate product until September 1, 2033, or earlier under certain specified circumstances. We believe this settlement, together with our existing patent and regulatory protections, provides additional visibility into the long-term exclusivity profile of PEDMARK</w:t>
      </w:r>
      <w:r>
        <w:rPr>
          <w:rFonts w:ascii="Times New Roman;Times;serif" w:hAnsi="Times New Roman;Times;serif"/>
          <w:sz w:val="15"/>
        </w:rPr>
        <w:t>®</w:t>
      </w:r>
      <w:r>
        <w:rPr>
          <w:rFonts w:ascii="Times New Roman;Times;serif" w:hAnsi="Times New Roman;Times;serif"/>
          <w:sz w:val="20"/>
        </w:rPr>
        <w:t xml:space="preserve"> in the United States.</w:t>
      </w:r>
    </w:p>
    <w:p>
      <w:pPr>
        <w:pStyle w:val="TextBody"/>
        <w:bidi w:val="0"/>
        <w:spacing w:before="0" w:after="0"/>
        <w:ind w:left="0" w:right="0" w:hanging="0"/>
        <w:jc w:val="both"/>
        <w:rPr/>
      </w:pPr>
      <w:r>
        <w:rPr/>
        <w:t>​</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can be no assurance that we do not or will not infringe on patents held by third parties or that third parties in the future will not claim that we have infringed on their patents. In the event that our product or technologies infringe or violate the patent or other proprietary rights of third parties, there is a possibility we may be prevented from pursuing product development, manufacturing or commercialization of our product until the underlying patent dispute is resolved. For example, there may be patents or patent applications held by others that contain claims that our product or operations might be determined to infringe or that may be broader than we believe them to be. Given the complexities and uncertainties of patent laws, there can be no assurance as to the impact that future patent claims against us may have on our business, financial condition, results of operations, or prospects.</w:t>
      </w:r>
    </w:p>
    <w:p>
      <w:pPr>
        <w:pStyle w:val="TextBody"/>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PEDMARK</w:t>
      </w:r>
      <w:r>
        <w:rPr>
          <w:rFonts w:ascii="Times New Roman;Times;serif" w:hAnsi="Times New Roman;Times;serif"/>
          <w:b/>
          <w:sz w:val="15"/>
        </w:rPr>
        <w:t>®</w:t>
      </w:r>
      <w:r>
        <w:rPr>
          <w:rFonts w:ascii="Times New Roman;Times;serif" w:hAnsi="Times New Roman;Times;serif"/>
          <w:sz w:val="20"/>
        </w:rPr>
        <w:t xml:space="preserve"> </w:t>
      </w:r>
      <w:r>
        <w:rPr>
          <w:rFonts w:ascii="Times New Roman;Times;serif" w:hAnsi="Times New Roman;Times;serif"/>
          <w:b/>
          <w:sz w:val="20"/>
        </w:rPr>
        <w:t>Product Overview</w:t>
      </w:r>
    </w:p>
    <w:p>
      <w:pPr>
        <w:pStyle w:val="TextBody"/>
        <w:shd w:fill="FFFFFF" w:val="clear"/>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PEDMARK</w:t>
      </w:r>
      <w:r>
        <w:rPr>
          <w:rFonts w:ascii="Times New Roman;Times;serif" w:hAnsi="Times New Roman;Times;serif"/>
          <w:sz w:val="15"/>
        </w:rPr>
        <w:t>®</w:t>
      </w:r>
      <w:r>
        <w:rPr>
          <w:rFonts w:ascii="Times New Roman;Times;serif" w:hAnsi="Times New Roman;Times;serif"/>
          <w:sz w:val="20"/>
        </w:rPr>
        <w:t xml:space="preserve"> has been studied by co-operative groups in two Phase 3 clinical studies of survival and reduction of ototoxicity, COG ACCL0431 and SIOPEL 6. Both studies have been completed. The COG ACCL0431 protocol enrolled childhood cancer patients typically treated with intensive cisplatin therapy for localized and disseminated disease, including newly diagnosed hepatoblastoma, germ cell tumor, osteosarcoma, neuroblastoma, medulloblastoma, and other solid tumors. SIOPEL 6 enrolled only hepatoblastoma patients with localized tumors.</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In the United States, PEDMARK</w:t>
      </w:r>
      <w:r>
        <w:rPr>
          <w:rFonts w:ascii="Times New Roman;Times;serif" w:hAnsi="Times New Roman;Times;serif"/>
          <w:sz w:val="15"/>
        </w:rPr>
        <w:t>®</w:t>
      </w:r>
      <w:r>
        <w:rPr>
          <w:rFonts w:ascii="Times New Roman;Times;serif" w:hAnsi="Times New Roman;Times;serif"/>
          <w:sz w:val="20"/>
        </w:rPr>
        <w:t xml:space="preserve"> is the first and only therapy approved to mitigate the risk of ototoxicity associated with cisplatin in pediatric patients aged one month and older with localized, non-metastatic solid tumors. Further, the National Comprehensive Cancer Network (NCCN) recommended the use of PEDMARK</w:t>
      </w:r>
      <w:r>
        <w:rPr>
          <w:rFonts w:ascii="Times New Roman;Times;serif" w:hAnsi="Times New Roman;Times;serif"/>
          <w:sz w:val="15"/>
        </w:rPr>
        <w:t>®</w:t>
      </w:r>
      <w:r>
        <w:rPr>
          <w:rFonts w:ascii="Times New Roman;Times;serif" w:hAnsi="Times New Roman;Times;serif"/>
          <w:sz w:val="20"/>
        </w:rPr>
        <w:t xml:space="preserve"> to reduce the risk of cisplatin-induced ototoxicity in patients with localized, non-metastatic solid tumors (category 2A) for Adolescent and Young Adult (AYA) Oncology. As of January 2025, all medical compendia have incorporated Fennec’s clinical updates, and AHFS, the largest online platform for pharmacists, has updated its content to reflect and differentiate PEDMARK</w:t>
      </w:r>
      <w:r>
        <w:rPr>
          <w:rFonts w:ascii="Times New Roman;Times;serif" w:hAnsi="Times New Roman;Times;serif"/>
          <w:sz w:val="15"/>
        </w:rPr>
        <w:t>®</w:t>
      </w:r>
      <w:r>
        <w:rPr>
          <w:rFonts w:ascii="Times New Roman;Times;serif" w:hAnsi="Times New Roman;Times;serif"/>
          <w:sz w:val="20"/>
        </w:rPr>
        <w:t xml:space="preserve"> in accordance with its labeling.</w:t>
      </w:r>
    </w:p>
    <w:p>
      <w:pPr>
        <w:pStyle w:val="TextBody"/>
        <w:bidi w:val="0"/>
        <w:spacing w:before="0" w:after="0"/>
        <w:ind w:left="0" w:right="0" w:hanging="0"/>
        <w:jc w:val="both"/>
        <w:rPr/>
      </w:pPr>
      <w:r>
        <w:rPr/>
        <w: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PEDMARK</w:t>
      </w:r>
      <w:r>
        <w:rPr>
          <w:rFonts w:ascii="Times New Roman;Times;serif" w:hAnsi="Times New Roman;Times;serif"/>
          <w:sz w:val="15"/>
        </w:rPr>
        <w:t>®</w:t>
      </w:r>
      <w:r>
        <w:rPr>
          <w:rFonts w:ascii="Times New Roman;Times;serif" w:hAnsi="Times New Roman;Times;serif"/>
          <w:sz w:val="20"/>
        </w:rPr>
        <w:t xml:space="preserve"> is the first and only FDA- and EMA-approved agent designed to reduce the risk of  CIO in pediatric patients with localized solid tumors. The strategic imperatives driving the execution of PEDMARK</w:t>
      </w:r>
      <w:r>
        <w:rPr>
          <w:rFonts w:ascii="Times New Roman;Times;serif" w:hAnsi="Times New Roman;Times;serif"/>
          <w:sz w:val="15"/>
        </w:rPr>
        <w:t>®</w:t>
      </w:r>
      <w:r>
        <w:rPr>
          <w:rFonts w:ascii="Times New Roman;Times;serif" w:hAnsi="Times New Roman;Times;serif"/>
          <w:sz w:val="20"/>
        </w:rPr>
        <w:t>’s strategy include increasing awareness of unmet patient needs and emphasizing the importance of preventing CIO among oncologists. A key goal is to establish PEDMARK</w:t>
      </w:r>
      <w:r>
        <w:rPr>
          <w:rFonts w:ascii="Times New Roman;Times;serif" w:hAnsi="Times New Roman;Times;serif"/>
          <w:sz w:val="15"/>
        </w:rPr>
        <w:t>®</w:t>
      </w:r>
      <w:r>
        <w:rPr>
          <w:rFonts w:ascii="Times New Roman;Times;serif" w:hAnsi="Times New Roman;Times;serif"/>
          <w:sz w:val="20"/>
        </w:rPr>
        <w:t xml:space="preserve"> as the standard of care (SOC) for all CIO prevention. Additionally, efforts focus on expanding adoption beyond oncologists by ensuring healthcare providers (HCPs) gain confidence in and have positive experiences with PEDMARK</w:t>
      </w:r>
      <w:r>
        <w:rPr>
          <w:rFonts w:ascii="Times New Roman;Times;serif" w:hAnsi="Times New Roman;Times;serif"/>
          <w:sz w:val="15"/>
        </w:rPr>
        <w:t>®</w:t>
      </w:r>
      <w:r>
        <w:rPr>
          <w:rFonts w:ascii="Times New Roman;Times;serif" w:hAnsi="Times New Roman;Times;serif"/>
          <w:sz w:val="20"/>
        </w:rPr>
        <w:t xml:space="preserve">. Ensuring seamless access for advocacy groups, payers, and providers is also a priority, along with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activating patients and caregivers through disease education to drive demand for PEDMARK</w:t>
      </w:r>
      <w:r>
        <w:rPr>
          <w:rFonts w:ascii="Times New Roman;Times;serif" w:hAnsi="Times New Roman;Times;serif"/>
          <w:sz w:val="15"/>
        </w:rPr>
        <w:t>®</w:t>
      </w:r>
      <w:r>
        <w:rPr>
          <w:rFonts w:ascii="Times New Roman;Times;serif" w:hAnsi="Times New Roman;Times;serif"/>
          <w:sz w:val="20"/>
        </w:rPr>
        <w:t>. Key activities supporting these objectives include an expanded sales team with a strong track record in both academic and community settings, partnerships with group purchasing organizations, and specialty pharmacy offerings such as home infusions, white bag delivery, and direct billing. Furthermore, digital materials, a digital speaker bureau to engage pediatric oncologists, audiologists, nurses, and pharmacists, along with a patient access services hub and ongoing support from advocacy groups, are all integral components of the strategy.</w:t>
      </w:r>
    </w:p>
    <w:p>
      <w:pPr>
        <w:pStyle w:val="TextBody"/>
        <w:bidi w:val="0"/>
        <w:spacing w:before="0" w:after="0"/>
        <w:ind w:left="0" w:right="0" w:hanging="0"/>
        <w:jc w:val="both"/>
        <w:rPr/>
      </w:pPr>
      <w:r>
        <w:rPr/>
        <w: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In the U.S. and Europe, Fennec estimates that there are approximately 11,400 pediatric patients with localized, non-metastatic solid tumors each year, of which include approximately 2,157 cisplatin-treated pediatric patients in the U.S. and 1,250 in Europe who fall within the current PEDMARK</w:t>
      </w:r>
      <w:r>
        <w:rPr>
          <w:rFonts w:ascii="Times New Roman;Times;serif" w:hAnsi="Times New Roman;Times;serif"/>
          <w:sz w:val="15"/>
        </w:rPr>
        <w:t>®</w:t>
      </w:r>
      <w:r>
        <w:rPr>
          <w:rFonts w:ascii="Times New Roman;Times;serif" w:hAnsi="Times New Roman;Times;serif"/>
          <w:sz w:val="20"/>
        </w:rPr>
        <w:t xml:space="preserve"> market. The incidence and severity of CIO depends on the cumulative dose and duration of chemotherapy. Many affected children ultimately require hearing aids or, in more severe cases, cochlear implants, which are costly, technically complex and do not fully restore normal hearing. PEDMARK</w:t>
      </w:r>
      <w:r>
        <w:rPr>
          <w:rFonts w:ascii="Times New Roman;Times;serif" w:hAnsi="Times New Roman;Times;serif"/>
          <w:sz w:val="15"/>
        </w:rPr>
        <w:t>®</w:t>
      </w:r>
      <w:r>
        <w:rPr>
          <w:rFonts w:ascii="Times New Roman;Times;serif" w:hAnsi="Times New Roman;Times;serif"/>
          <w:sz w:val="20"/>
        </w:rPr>
        <w:t xml:space="preserve"> is the first and only therapy approved in the U.S. to reduce the risk of ototoxicity associated with cisplatin in pediatric patients one month of age and older with localized, non-metastatic solid tumors. Infants and young children who experience ototoxicity during critical developmental windows are at risk for impaired speech and language development and literacy, while older children and adolescents may face long-term challenges in academic performance, social-emotional development, career potential and independent living.​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the U.S., approximately 90% of pediatric cancer patients receive care at approximately 200 key pediatric hospital centers, including institutions within the Children’s Oncology Group (COG), National Cancer Institute (NCI) and National Comprehensive Cancer Network (NCCN).​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Adolescent and Young Adult (“AYA”) oncology patient is defined as an individual between 15 and 39 years of age at the time of initial cancer diagnosis. In the U.S., Fennec estimates that there are approximately 51,282 new AYA solid tumor cases annually, of which approximately 25,536 involve cisplatin-treated patients with localized, non-metastatic solid tumors. The most common relevant tumor types include germ cell tumors, testicular cancer, thyroid cancer and breast cancer. The U.S. AYA oncology treatment landscape spans both academic and community settings, with 72 NCI-designated academic centers treating roughly 20% of AYA oncology patients, while approximately 80% are managed across approximately 3,750 community oncology centers nationwide.</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CIO and Unmet Medical Need</w:t>
      </w:r>
    </w:p>
    <w:p>
      <w:pPr>
        <w:pStyle w:val="TextBody"/>
        <w:bidi w:val="0"/>
        <w:spacing w:before="280" w:after="0"/>
        <w:ind w:left="0" w:right="0" w:hanging="0"/>
        <w:jc w:val="both"/>
        <w:rPr>
          <w:rFonts w:ascii="Times New Roman;Times;serif" w:hAnsi="Times New Roman;Times;serif"/>
          <w:sz w:val="20"/>
        </w:rPr>
      </w:pPr>
      <w:r>
        <w:rPr>
          <w:rFonts w:ascii="Times New Roman;Times;serif" w:hAnsi="Times New Roman;Times;serif"/>
          <w:sz w:val="20"/>
        </w:rPr>
        <w:t>Cisplatin is a cornerstone of modern cancer therapy for many pediatric and AYA solid tumors, with reported overall survival rates in some cisplatin-treated cancers exceeding 80%. However, cisplatin is associated with a high incidence of ototoxicity. Published data indicates that approximately 60% to 90% of cisplatin-treated patients may develop some degree of permanent, sensorineural hearing loss, with reported rates of 40% to 80% occurring in adults and 50% to 90% in children. CIO typically begins as bilateral, high-frequency hearing loss that is progressive and irreversible, occasionally accompanied by tinnitus. In some cases, it may ultimately require the use of hearing aids or cochlear implants.</w:t>
      </w:r>
    </w:p>
    <w:p>
      <w:pPr>
        <w:pStyle w:val="TextBody"/>
        <w:bidi w:val="0"/>
        <w:spacing w:lineRule="auto" w:line="240" w:before="280" w:after="0"/>
        <w:ind w:left="0" w:right="0" w:hanging="0"/>
        <w:jc w:val="both"/>
        <w:rPr>
          <w:rFonts w:ascii="Times New Roman;Times;serif" w:hAnsi="Times New Roman;Times;serif"/>
          <w:sz w:val="20"/>
        </w:rPr>
      </w:pPr>
      <w:r>
        <w:rPr>
          <w:rFonts w:ascii="Times New Roman;Times;serif" w:hAnsi="Times New Roman;Times;serif"/>
          <w:sz w:val="20"/>
        </w:rPr>
        <w:t>Published literature has linked treatment-related hearing loss to impairments in speech and language development, reduced academic performance, challenges in social-emotional development, and enduring impacts on educational attainment, vocational opportunities, and independent living. Additionally, published research indicates that severe to profound early-onset hearing loss can impose a substantial lifetime economic burden, with per-individual costs estimated at approximately $0.5 million and potentially exceeding $1.0 million on an undiscounted basis, primarily due to lost productivity, educational expenses, and medical costs. These figures are derived from published literature regarding the disease burden of hearing loss and do not represent demonstrated health-economic outcomes specifically attributable to PEDMARK</w:t>
      </w:r>
      <w:r>
        <w:rPr>
          <w:rFonts w:ascii="Times New Roman;Times;serif" w:hAnsi="Times New Roman;Times;serif"/>
          <w:sz w:val="15"/>
        </w:rPr>
        <w:t>®</w:t>
      </w:r>
      <w:r>
        <w:rPr>
          <w:rFonts w:ascii="Times New Roman;Times;serif" w:hAnsi="Times New Roman;Times;serif"/>
          <w:sz w:val="20"/>
        </w:rPr>
        <w:t>.</w:t>
      </w:r>
    </w:p>
    <w:p>
      <w:pPr>
        <w:pStyle w:val="TextBody"/>
        <w:bidi w:val="0"/>
        <w:spacing w:before="280" w:after="0"/>
        <w:ind w:left="0" w:right="0" w:hanging="0"/>
        <w:jc w:val="both"/>
        <w:rPr>
          <w:rFonts w:ascii="Times New Roman;Times;serif" w:hAnsi="Times New Roman;Times;serif"/>
          <w:b/>
          <w:sz w:val="20"/>
        </w:rPr>
      </w:pPr>
      <w:r>
        <w:rPr>
          <w:rFonts w:ascii="Times New Roman;Times;serif" w:hAnsi="Times New Roman;Times;serif"/>
          <w:b/>
          <w:sz w:val="20"/>
        </w:rPr>
        <w:t xml:space="preserve">European Commission Marketing Authorization </w:t>
      </w:r>
    </w:p>
    <w:p>
      <w:pPr>
        <w:pStyle w:val="TextBody"/>
        <w:bidi w:val="0"/>
        <w:spacing w:lineRule="auto" w:line="240" w:before="280" w:after="240"/>
        <w:ind w:left="0" w:right="0" w:hanging="0"/>
        <w:jc w:val="both"/>
        <w:rPr>
          <w:rFonts w:ascii="Times New Roman;Times;serif" w:hAnsi="Times New Roman;Times;serif"/>
          <w:sz w:val="20"/>
        </w:rPr>
      </w:pPr>
      <w:r>
        <w:rPr>
          <w:rFonts w:ascii="Times New Roman;Times;serif" w:hAnsi="Times New Roman;Times;serif"/>
          <w:sz w:val="20"/>
        </w:rPr>
        <w:t>PEDMARQSI</w:t>
      </w:r>
      <w:r>
        <w:rPr>
          <w:rFonts w:ascii="Times New Roman;Times;serif" w:hAnsi="Times New Roman;Times;serif"/>
          <w:sz w:val="15"/>
        </w:rPr>
        <w:t>®</w:t>
      </w:r>
      <w:r>
        <w:rPr>
          <w:rFonts w:ascii="Times New Roman;Times;serif" w:hAnsi="Times New Roman;Times;serif"/>
          <w:sz w:val="20"/>
        </w:rPr>
        <w:t xml:space="preserve"> (PEDMARK</w:t>
      </w:r>
      <w:r>
        <w:rPr>
          <w:rFonts w:ascii="Times New Roman;Times;serif" w:hAnsi="Times New Roman;Times;serif"/>
          <w:sz w:val="15"/>
        </w:rPr>
        <w:t>®</w:t>
      </w:r>
      <w:r>
        <w:rPr>
          <w:rFonts w:ascii="Times New Roman;Times;serif" w:hAnsi="Times New Roman;Times;serif"/>
          <w:sz w:val="20"/>
        </w:rPr>
        <w:t xml:space="preserve"> brand name in Europe) received European Commission Marketing Authorization in June 2023 and received U.K. approval in October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As previously noted, in March 2024, we entered into an agreement with Norgine, a leading European specialist pharmaceutical company. This is an exclusive licensing agreement under which Norgine will commercialize PEDMARQSI</w:t>
      </w:r>
      <w:r>
        <w:rPr>
          <w:rFonts w:ascii="Times New Roman;Times;serif" w:hAnsi="Times New Roman;Times;serif"/>
          <w:i/>
          <w:sz w:val="15"/>
        </w:rPr>
        <w:t>®</w:t>
      </w:r>
      <w:r>
        <w:rPr>
          <w:rFonts w:ascii="Times New Roman;Times;serif" w:hAnsi="Times New Roman;Times;serif"/>
          <w:sz w:val="20"/>
        </w:rPr>
        <w:t xml:space="preserve"> in Europe, Australia and New Zealand. PEDMARQSI</w:t>
      </w:r>
      <w:r>
        <w:rPr>
          <w:rFonts w:ascii="Times New Roman;Times;serif" w:hAnsi="Times New Roman;Times;serif"/>
          <w:i/>
          <w:sz w:val="15"/>
        </w:rPr>
        <w:t xml:space="preserve">® </w:t>
      </w:r>
      <w:r>
        <w:rPr>
          <w:rFonts w:ascii="Times New Roman;Times;serif" w:hAnsi="Times New Roman;Times;serif"/>
          <w:sz w:val="20"/>
        </w:rPr>
        <w:t xml:space="preserve">is the first and only approved therapy in the EU and U.K. for the prevention of ototoxicity (hearing loss) induced by cisplatin chemotherapy in patients 1 month to &lt; 18 years of age with localized, non-metastatic solid tumors. </w:t>
      </w:r>
    </w:p>
    <w:p>
      <w:pPr>
        <w:pStyle w:val="TextBody"/>
        <w:bidi w:val="0"/>
        <w:spacing w:before="0" w:after="0"/>
        <w:ind w:left="0" w:right="0" w:hanging="0"/>
        <w:jc w:val="left"/>
        <w:rPr/>
      </w:pPr>
      <w:r>
        <w:rPr/>
        <w:t>​</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Under the terms of the licensing agreement, Fennec received approximately $43 million in upfront consideration and may receive up to approximately $230 million in additional commercial and regulatory milestone payments and double-digit tiered royalties on net sales of PEDMARQSI</w:t>
      </w:r>
      <w:r>
        <w:rPr>
          <w:rFonts w:ascii="Times New Roman;Times;serif" w:hAnsi="Times New Roman;Times;serif"/>
          <w:i/>
          <w:sz w:val="15"/>
        </w:rPr>
        <w:t>®</w:t>
      </w:r>
      <w:r>
        <w:rPr>
          <w:rFonts w:ascii="Times New Roman;Times;serif" w:hAnsi="Times New Roman;Times;serif"/>
          <w:sz w:val="20"/>
        </w:rPr>
        <w:t xml:space="preserve"> in the licensed territories up to the mid-twenties. To date, Fennec has not received any milestone payments.  Norgine will be responsible for all commercialization activities in the licensed territories and will hold all marketing authorizations in the licensed territories.</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Most recently, in 2025, Norgine launched PEDMARQSI</w:t>
      </w:r>
      <w:r>
        <w:rPr>
          <w:rFonts w:ascii="Times New Roman;Times;serif" w:hAnsi="Times New Roman;Times;serif"/>
          <w:i/>
          <w:sz w:val="15"/>
        </w:rPr>
        <w:t>®</w:t>
      </w:r>
      <w:r>
        <w:rPr>
          <w:rFonts w:ascii="Times New Roman;Times;serif" w:hAnsi="Times New Roman;Times;serif"/>
          <w:sz w:val="20"/>
        </w:rPr>
        <w:t xml:space="preserve"> in Germany and the U.K with plans to launch in several additional markets in 2026.</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Japan: STS-J01 Investigator-Initiated Trial and Registration Plans</w:t>
      </w:r>
    </w:p>
    <w:p>
      <w:pPr>
        <w:pStyle w:val="TextBody"/>
        <w:bidi w:val="0"/>
        <w:spacing w:before="0" w:after="0"/>
        <w:ind w:left="0" w:right="0" w:hanging="0"/>
        <w:jc w:val="both"/>
        <w:rPr/>
      </w:pPr>
      <w:r>
        <w:rPr/>
        <w: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In Japan, an independent investigator-initiated clinical trial, known as STS-J01, has been evaluating PEDMARK</w:t>
      </w:r>
      <w:r>
        <w:rPr>
          <w:rFonts w:ascii="Times New Roman;Times;serif" w:hAnsi="Times New Roman;Times;serif"/>
          <w:i/>
          <w:sz w:val="15"/>
        </w:rPr>
        <w:t>®</w:t>
      </w:r>
      <w:r>
        <w:rPr>
          <w:rFonts w:ascii="Times New Roman;Times;serif" w:hAnsi="Times New Roman;Times;serif"/>
          <w:sz w:val="20"/>
        </w:rPr>
        <w:t xml:space="preserve"> for the prevention of CIO. In December 2025, we announced positive topline results from this trial that demonstrated use of PEDMARK</w:t>
      </w:r>
      <w:r>
        <w:rPr>
          <w:rFonts w:ascii="Times New Roman;Times;serif" w:hAnsi="Times New Roman;Times;serif"/>
          <w:i/>
          <w:sz w:val="15"/>
        </w:rPr>
        <w:t>®</w:t>
      </w:r>
      <w:r>
        <w:rPr>
          <w:rFonts w:ascii="Times New Roman;Times;serif" w:hAnsi="Times New Roman;Times;serif"/>
          <w:sz w:val="20"/>
        </w:rPr>
        <w:t xml:space="preserve"> was associated with a significant reduction in the incidence of hearing loss compared to historically reported rates in patients receiving cisplatin alone, with no evidence of reduced antitumor activity and an approximate 95% clinical response rate. Based on these results, we are pursuing a regulatory registration strategy for PEDMARK</w:t>
      </w:r>
      <w:r>
        <w:rPr>
          <w:rFonts w:ascii="Times New Roman;Times;serif" w:hAnsi="Times New Roman;Times;serif"/>
          <w:i/>
          <w:sz w:val="15"/>
        </w:rPr>
        <w:t>®</w:t>
      </w:r>
      <w:r>
        <w:rPr>
          <w:rFonts w:ascii="Times New Roman;Times;serif" w:hAnsi="Times New Roman;Times;serif"/>
          <w:sz w:val="20"/>
        </w:rPr>
        <w:t xml:space="preserve"> in Japan and are evaluating partnering or licensing opportunities in that market, similar to our partnership with Norgine in Europe. Discussions with potential partners and regulators are ongoing.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Investigator-Initiated Studies and Lifecycle Management</w:t>
      </w:r>
    </w:p>
    <w:p>
      <w:pPr>
        <w:pStyle w:val="TextBody"/>
        <w:bidi w:val="0"/>
        <w:spacing w:before="0" w:after="0"/>
        <w:ind w:left="0" w:right="0" w:hanging="0"/>
        <w:jc w:val="both"/>
        <w:rPr/>
      </w:pPr>
      <w:r>
        <w:rPr/>
        <w: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In addition to our pivotal pediatric studies (SIOPEL6 and COG ACCL0431), we support a number of investigator-initiated and other clinical studies designed to further characterize the use of PEDMARK</w:t>
      </w:r>
      <w:r>
        <w:rPr>
          <w:rFonts w:ascii="Times New Roman;Times;serif" w:hAnsi="Times New Roman;Times;serif"/>
          <w:i/>
          <w:sz w:val="15"/>
        </w:rPr>
        <w:t>®</w:t>
      </w:r>
      <w:r>
        <w:rPr>
          <w:rFonts w:ascii="Times New Roman;Times;serif" w:hAnsi="Times New Roman;Times;serif"/>
          <w:sz w:val="20"/>
        </w:rPr>
        <w:t xml:space="preserve"> in additional tumor types and patient populations. For example, City of Hope, a U.S. cancer research and treatment organization, is conducting an investigator-initiated clinical trial evaluating PEDMARK</w:t>
      </w:r>
      <w:r>
        <w:rPr>
          <w:rFonts w:ascii="Times New Roman;Times;serif" w:hAnsi="Times New Roman;Times;serif"/>
          <w:i/>
          <w:sz w:val="15"/>
        </w:rPr>
        <w:t>®</w:t>
      </w:r>
      <w:r>
        <w:rPr>
          <w:rFonts w:ascii="Times New Roman;Times;serif" w:hAnsi="Times New Roman;Times;serif"/>
          <w:sz w:val="20"/>
        </w:rPr>
        <w:t xml:space="preserve"> in adult men with stage II–III metastatic testicular germ cell tumors receiving cisplatin-based chemotherapy. We also engage in medical affairs activities and data-generation initiatives to expand the clinical evidence base for PEDMARK</w:t>
      </w:r>
      <w:r>
        <w:rPr>
          <w:rFonts w:ascii="Times New Roman;Times;serif" w:hAnsi="Times New Roman;Times;serif"/>
          <w:i/>
          <w:sz w:val="15"/>
        </w:rPr>
        <w:t>®</w:t>
      </w:r>
      <w:r>
        <w:rPr>
          <w:rFonts w:ascii="Times New Roman;Times;serif" w:hAnsi="Times New Roman;Times;serif"/>
          <w:sz w:val="20"/>
        </w:rPr>
        <w:t>, including in AYA and adult populations.  In 2026, additional investigator-sponsored studies were initiated, including a real-world study at Tampa General Hospital Cancer Institute and a Phase I/II trial at the University of Arizona Cancer Center to evaluate PEDMARK® in AYA and adult patients receiving cisplatin-based chemotherapy. These studies are exploratory in nature, and PEDMARK</w:t>
      </w:r>
      <w:r>
        <w:rPr>
          <w:rFonts w:ascii="Times New Roman;Times;serif" w:hAnsi="Times New Roman;Times;serif"/>
          <w:sz w:val="15"/>
        </w:rPr>
        <w:t>®</w:t>
      </w:r>
      <w:r>
        <w:rPr>
          <w:rFonts w:ascii="Times New Roman;Times;serif" w:hAnsi="Times New Roman;Times;serif"/>
          <w:sz w:val="20"/>
        </w:rPr>
        <w:t xml:space="preserve"> is not currently approved for use in metastatic cancers or adult populations outside of its labeled indication. Any potential label expansion will require additional clinical data and regulatory approvals.</w:t>
      </w:r>
    </w:p>
    <w:p>
      <w:pPr>
        <w:pStyle w:val="TextBody"/>
        <w:bidi w:val="0"/>
        <w:spacing w:before="0" w:after="0"/>
        <w:ind w:left="0" w:right="0" w:hanging="0"/>
        <w:jc w:val="both"/>
        <w:rPr/>
      </w:pPr>
      <w:r>
        <w:rPr/>
        <w:t>​</w:t>
      </w:r>
    </w:p>
    <w:p>
      <w:pPr>
        <w:pStyle w:val="TextBody"/>
        <w:bidi w:val="0"/>
        <w:spacing w:lineRule="auto" w:line="240" w:before="280" w:after="0"/>
        <w:ind w:left="0" w:right="0" w:hanging="0"/>
        <w:jc w:val="both"/>
        <w:rPr>
          <w:rFonts w:ascii="Times New Roman;Times;serif" w:hAnsi="Times New Roman;Times;serif"/>
          <w:sz w:val="20"/>
        </w:rPr>
      </w:pPr>
      <w:r>
        <w:rPr>
          <w:rFonts w:ascii="Times New Roman;Times;serif" w:hAnsi="Times New Roman;Times;serif"/>
          <w:sz w:val="20"/>
        </w:rPr>
        <w:t>Further, in April 2026, we announced that four abstracts evaluating PEDMARK</w:t>
      </w:r>
      <w:r>
        <w:rPr>
          <w:rFonts w:ascii="Times New Roman;Times;serif" w:hAnsi="Times New Roman;Times;serif"/>
          <w:sz w:val="15"/>
        </w:rPr>
        <w:t>®</w:t>
      </w:r>
      <w:r>
        <w:rPr>
          <w:rFonts w:ascii="Times New Roman;Times;serif" w:hAnsi="Times New Roman;Times;serif"/>
          <w:sz w:val="20"/>
        </w:rPr>
        <w:t> (sodium thiosulfate injection) were accepted as part of the 2026 American Society of Clinical Oncology (ASCO) Annual Meeting program, which took place from May 29-June 2, 2026 in Chicago, IL. These four independently led studies build upon the established safety and efficacy of PEDMARK</w:t>
      </w:r>
      <w:r>
        <w:rPr>
          <w:rFonts w:ascii="Times New Roman;Times;serif" w:hAnsi="Times New Roman;Times;serif"/>
          <w:sz w:val="15"/>
        </w:rPr>
        <w:t>®</w:t>
      </w:r>
      <w:r>
        <w:rPr>
          <w:rFonts w:ascii="Times New Roman;Times;serif" w:hAnsi="Times New Roman;Times;serif"/>
          <w:sz w:val="20"/>
        </w:rPr>
        <w:t> – currently approved for pediatric patients one month of age and older with localized, non-metastatic solid tumors, and recognized by the National Comprehensive Cancer Network with a 2A recommendation for use in adolescent and young adult patients – and help to expand understanding of the clinical utility of PEDMARK</w:t>
      </w:r>
      <w:r>
        <w:rPr>
          <w:rFonts w:ascii="Times New Roman;Times;serif" w:hAnsi="Times New Roman;Times;serif"/>
          <w:sz w:val="15"/>
        </w:rPr>
        <w:t>®</w:t>
      </w:r>
      <w:r>
        <w:rPr>
          <w:rFonts w:ascii="Times New Roman;Times;serif" w:hAnsi="Times New Roman;Times;serif"/>
          <w:sz w:val="20"/>
        </w:rPr>
        <w:t> in Adolescent and Young Adult (AYA) and adult populations, where significant unmet need remains.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Three months ended June 30, 2026 versus three months ended June 30, 2025:</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420"/>
        <w:gridCol w:w="286"/>
        <w:gridCol w:w="392"/>
        <w:gridCol w:w="1148"/>
        <w:gridCol w:w="286"/>
        <w:gridCol w:w="421"/>
        <w:gridCol w:w="361"/>
        <w:gridCol w:w="386"/>
        <w:gridCol w:w="1154"/>
        <w:gridCol w:w="286"/>
        <w:gridCol w:w="421"/>
        <w:gridCol w:w="361"/>
        <w:gridCol w:w="211"/>
        <w:gridCol w:w="678"/>
        <w:gridCol w:w="394"/>
      </w:tblGrid>
      <w:tr>
        <w:trPr/>
        <w:tc>
          <w:tcPr>
            <w:tcW w:w="3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71700" cy="175260"/>
                      <wp:effectExtent l="0" t="0" r="0" b="0"/>
                      <wp:wrapNone/>
                      <wp:docPr id="155" name="Frame155"/>
                      <a:graphic xmlns:a="http://schemas.openxmlformats.org/drawingml/2006/main">
                        <a:graphicData uri="http://schemas.microsoft.com/office/word/2010/wordprocessingShape">
                          <wps:wsp>
                            <wps:cNvSpPr txBox="1"/>
                            <wps:spPr>
                              <a:xfrm>
                                <a:off x="0" y="0"/>
                                <a:ext cx="2171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81610" cy="175260"/>
                      <wp:effectExtent l="0" t="0" r="0" b="0"/>
                      <wp:wrapNone/>
                      <wp:docPr id="156" name="Frame15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48920" cy="175260"/>
                      <wp:effectExtent l="0" t="0" r="0" b="0"/>
                      <wp:wrapNone/>
                      <wp:docPr id="157" name="Frame157"/>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728980" cy="175260"/>
                      <wp:effectExtent l="0" t="0" r="0" b="0"/>
                      <wp:wrapNone/>
                      <wp:docPr id="158" name="Frame158"/>
                      <a:graphic xmlns:a="http://schemas.openxmlformats.org/drawingml/2006/main">
                        <a:graphicData uri="http://schemas.microsoft.com/office/word/2010/wordprocessingShape">
                          <wps:wsp>
                            <wps:cNvSpPr txBox="1"/>
                            <wps:spPr>
                              <a:xfrm>
                                <a:off x="0" y="0"/>
                                <a:ext cx="728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81610" cy="175260"/>
                      <wp:effectExtent l="0" t="0" r="0" b="0"/>
                      <wp:wrapNone/>
                      <wp:docPr id="159" name="Frame15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67335" cy="175260"/>
                      <wp:effectExtent l="0" t="0" r="0" b="0"/>
                      <wp:wrapNone/>
                      <wp:docPr id="160" name="Frame16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29235" cy="175260"/>
                      <wp:effectExtent l="0" t="0" r="0" b="0"/>
                      <wp:wrapNone/>
                      <wp:docPr id="161" name="Frame16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45110" cy="175260"/>
                      <wp:effectExtent l="0" t="0" r="0" b="0"/>
                      <wp:wrapNone/>
                      <wp:docPr id="162" name="Frame162"/>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732790" cy="175260"/>
                      <wp:effectExtent l="0" t="0" r="0" b="0"/>
                      <wp:wrapNone/>
                      <wp:docPr id="163" name="Frame163"/>
                      <a:graphic xmlns:a="http://schemas.openxmlformats.org/drawingml/2006/main">
                        <a:graphicData uri="http://schemas.microsoft.com/office/word/2010/wordprocessingShape">
                          <wps:wsp>
                            <wps:cNvSpPr txBox="1"/>
                            <wps:spPr>
                              <a:xfrm>
                                <a:off x="0" y="0"/>
                                <a:ext cx="732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81610" cy="175260"/>
                      <wp:effectExtent l="0" t="0" r="0" b="0"/>
                      <wp:wrapNone/>
                      <wp:docPr id="164" name="Frame16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67335" cy="175260"/>
                      <wp:effectExtent l="0" t="0" r="0" b="0"/>
                      <wp:wrapNone/>
                      <wp:docPr id="165" name="Frame16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29235" cy="175260"/>
                      <wp:effectExtent l="0" t="0" r="0" b="0"/>
                      <wp:wrapNone/>
                      <wp:docPr id="166" name="Frame16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7" name="Frame1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430530" cy="175260"/>
                      <wp:effectExtent l="0" t="0" r="0" b="0"/>
                      <wp:wrapNone/>
                      <wp:docPr id="168" name="Frame168"/>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50190" cy="175260"/>
                      <wp:effectExtent l="0" t="0" r="0" b="0"/>
                      <wp:wrapNone/>
                      <wp:docPr id="169" name="Frame169"/>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5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86"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  ​ ​ ​</w:t>
            </w:r>
          </w:p>
        </w:tc>
        <w:tc>
          <w:tcPr>
            <w:tcW w:w="361" w:type="dxa"/>
            <w:tcBorders/>
            <w:vAlign w:val="center"/>
          </w:tcPr>
          <w:p>
            <w:pPr>
              <w:pStyle w:val="TableContents"/>
              <w:bidi w:val="0"/>
              <w:spacing w:before="0" w:after="0"/>
              <w:ind w:left="0" w:right="0" w:hanging="0"/>
              <w:jc w:val="center"/>
              <w:rPr/>
            </w:pPr>
            <w:r>
              <w:rPr/>
              <w:t>​</w:t>
            </w:r>
          </w:p>
        </w:tc>
        <w:tc>
          <w:tcPr>
            <w:tcW w:w="15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86"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  ​ ​ ​</w:t>
            </w:r>
          </w:p>
        </w:tc>
        <w:tc>
          <w:tcPr>
            <w:tcW w:w="361" w:type="dxa"/>
            <w:tcBorders/>
            <w:vAlign w:val="center"/>
          </w:tcPr>
          <w:p>
            <w:pPr>
              <w:pStyle w:val="TableContents"/>
              <w:bidi w:val="0"/>
              <w:spacing w:before="0" w:after="0"/>
              <w:ind w:left="0" w:right="0" w:hanging="0"/>
              <w:jc w:val="center"/>
              <w:rPr/>
            </w:pPr>
            <w:r>
              <w:rPr/>
              <w:t>​</w:t>
            </w:r>
          </w:p>
        </w:tc>
        <w:tc>
          <w:tcPr>
            <w:tcW w:w="889" w:type="dxa"/>
            <w:gridSpan w:val="2"/>
            <w:tcBorders/>
            <w:vAlign w:val="center"/>
          </w:tcPr>
          <w:p>
            <w:pPr>
              <w:pStyle w:val="TableContents"/>
              <w:bidi w:val="0"/>
              <w:spacing w:before="0" w:after="0"/>
              <w:ind w:left="0" w:right="0" w:hanging="0"/>
              <w:jc w:val="center"/>
              <w:rPr/>
            </w:pPr>
            <w:r>
              <w:rPr/>
              <w:t>​</w:t>
            </w:r>
          </w:p>
        </w:tc>
        <w:tc>
          <w:tcPr>
            <w:tcW w:w="394" w:type="dxa"/>
            <w:tcBorders/>
            <w:vAlign w:val="center"/>
          </w:tcPr>
          <w:p>
            <w:pPr>
              <w:pStyle w:val="TableContents"/>
              <w:bidi w:val="0"/>
              <w:spacing w:before="0" w:after="0"/>
              <w:ind w:left="0" w:right="0" w:hanging="0"/>
              <w:jc w:val="center"/>
              <w:rPr/>
            </w:pPr>
            <w:r>
              <w:rPr/>
              <w:t>​</w:t>
            </w:r>
          </w:p>
        </w:tc>
      </w:tr>
      <w:tr>
        <w:trPr/>
        <w:tc>
          <w:tcPr>
            <w:tcW w:w="34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of U.S. Dollars</w:t>
            </w:r>
          </w:p>
        </w:tc>
        <w:tc>
          <w:tcPr>
            <w:tcW w:w="286" w:type="dxa"/>
            <w:tcBorders/>
            <w:vAlign w:val="center"/>
          </w:tcPr>
          <w:p>
            <w:pPr>
              <w:pStyle w:val="TableContents"/>
              <w:bidi w:val="0"/>
              <w:spacing w:before="0" w:after="0"/>
              <w:ind w:left="0" w:right="0" w:hanging="0"/>
              <w:jc w:val="left"/>
              <w:rPr/>
            </w:pPr>
            <w:r>
              <w:rPr/>
              <w:t>  ​ ​</w:t>
            </w:r>
          </w:p>
        </w:tc>
        <w:tc>
          <w:tcPr>
            <w:tcW w:w="15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286" w:type="dxa"/>
            <w:tcBorders/>
            <w:vAlign w:val="center"/>
          </w:tcPr>
          <w:p>
            <w:pPr>
              <w:pStyle w:val="TableContents"/>
              <w:bidi w:val="0"/>
              <w:spacing w:before="0" w:after="0"/>
              <w:ind w:left="0" w:right="0" w:hanging="0"/>
              <w:jc w:val="left"/>
              <w:rPr/>
            </w:pPr>
            <w:r>
              <w:rPr/>
              <w:t>  ​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61" w:type="dxa"/>
            <w:tcBorders/>
            <w:vAlign w:val="center"/>
          </w:tcPr>
          <w:p>
            <w:pPr>
              <w:pStyle w:val="TableContents"/>
              <w:bidi w:val="0"/>
              <w:spacing w:before="0" w:after="0"/>
              <w:ind w:left="0" w:right="0" w:hanging="0"/>
              <w:jc w:val="left"/>
              <w:rPr/>
            </w:pPr>
            <w:r>
              <w:rPr/>
              <w:t>  ​ ​</w:t>
            </w:r>
          </w:p>
        </w:tc>
        <w:tc>
          <w:tcPr>
            <w:tcW w:w="15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286" w:type="dxa"/>
            <w:tcBorders/>
            <w:vAlign w:val="center"/>
          </w:tcPr>
          <w:p>
            <w:pPr>
              <w:pStyle w:val="TableContents"/>
              <w:bidi w:val="0"/>
              <w:spacing w:before="0" w:after="0"/>
              <w:ind w:left="0" w:right="0" w:hanging="0"/>
              <w:jc w:val="left"/>
              <w:rPr/>
            </w:pPr>
            <w:r>
              <w:rPr/>
              <w:t>  ​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61" w:type="dxa"/>
            <w:tcBorders/>
            <w:vAlign w:val="center"/>
          </w:tcPr>
          <w:p>
            <w:pPr>
              <w:pStyle w:val="TableContents"/>
              <w:bidi w:val="0"/>
              <w:spacing w:before="0" w:after="0"/>
              <w:ind w:left="0" w:right="0" w:hanging="0"/>
              <w:jc w:val="left"/>
              <w:rPr/>
            </w:pPr>
            <w:r>
              <w:rPr/>
              <w:t>  ​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94" w:type="dxa"/>
            <w:tcBorders/>
            <w:vAlign w:val="center"/>
          </w:tcPr>
          <w:p>
            <w:pPr>
              <w:pStyle w:val="TableContents"/>
              <w:bidi w:val="0"/>
              <w:spacing w:before="0" w:after="0"/>
              <w:ind w:left="0" w:right="0" w:hanging="0"/>
              <w:jc w:val="left"/>
              <w:rPr/>
            </w:pPr>
            <w:r>
              <w:rPr/>
              <w:t>  ​ ​ ​</w:t>
            </w:r>
          </w:p>
        </w:tc>
      </w:tr>
      <w:tr>
        <w:trPr/>
        <w:tc>
          <w:tcPr>
            <w:tcW w:w="3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PEDMARK product sales, net</w:t>
            </w:r>
          </w:p>
        </w:tc>
        <w:tc>
          <w:tcPr>
            <w:tcW w:w="286"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17,164</w:t>
            </w:r>
          </w:p>
        </w:tc>
        <w:tc>
          <w:tcPr>
            <w:tcW w:w="286"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9,652</w:t>
            </w:r>
          </w:p>
        </w:tc>
        <w:tc>
          <w:tcPr>
            <w:tcW w:w="286"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7,512</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3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286" w:type="dxa"/>
            <w:tcBorders/>
            <w:vAlign w:val="center"/>
          </w:tcPr>
          <w:p>
            <w:pPr>
              <w:pStyle w:val="TableContents"/>
              <w:bidi w:val="0"/>
              <w:spacing w:before="0" w:after="0"/>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w:t>
            </w:r>
          </w:p>
        </w:tc>
        <w:tc>
          <w:tcPr>
            <w:tcW w:w="286"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pPr>
            <w:r>
              <w:rPr/>
              <w:t>​</w:t>
            </w:r>
          </w:p>
        </w:tc>
        <w:tc>
          <w:tcPr>
            <w:tcW w:w="3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w:t>
            </w:r>
          </w:p>
        </w:tc>
        <w:tc>
          <w:tcPr>
            <w:tcW w:w="394" w:type="dxa"/>
            <w:tcBorders/>
            <w:vAlign w:val="center"/>
          </w:tcPr>
          <w:p>
            <w:pPr>
              <w:pStyle w:val="TableContents"/>
              <w:bidi w:val="0"/>
              <w:spacing w:before="0" w:after="0"/>
              <w:ind w:left="0" w:right="0" w:hanging="0"/>
              <w:jc w:val="left"/>
              <w:rPr/>
            </w:pPr>
            <w:r>
              <w:rPr/>
              <w:t>​</w:t>
            </w:r>
          </w:p>
        </w:tc>
      </w:tr>
      <w:tr>
        <w:trPr/>
        <w:tc>
          <w:tcPr>
            <w:tcW w:w="3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286" w:type="dxa"/>
            <w:tcBorders/>
            <w:shd w:fill="CCEEFF" w:val="clear"/>
            <w:vAlign w:val="center"/>
          </w:tcPr>
          <w:p>
            <w:pPr>
              <w:pStyle w:val="TableContents"/>
              <w:bidi w:val="0"/>
              <w:spacing w:before="0" w:after="0"/>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17,874</w:t>
            </w:r>
          </w:p>
        </w:tc>
        <w:tc>
          <w:tcPr>
            <w:tcW w:w="286"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9,652</w:t>
            </w:r>
          </w:p>
        </w:tc>
        <w:tc>
          <w:tcPr>
            <w:tcW w:w="286"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8,222</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342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right"/>
              <w:rPr/>
            </w:pPr>
            <w:r>
              <w:rPr/>
              <w:t>​</w:t>
            </w:r>
          </w:p>
        </w:tc>
        <w:tc>
          <w:tcPr>
            <w:tcW w:w="1148"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right"/>
              <w:rPr/>
            </w:pPr>
            <w:r>
              <w:rPr/>
              <w:t>​</w:t>
            </w:r>
          </w:p>
        </w:tc>
        <w:tc>
          <w:tcPr>
            <w:tcW w:w="1154"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78" w:type="dxa"/>
            <w:tcBorders/>
            <w:vAlign w:val="center"/>
          </w:tcPr>
          <w:p>
            <w:pPr>
              <w:pStyle w:val="TableContents"/>
              <w:bidi w:val="0"/>
              <w:spacing w:before="0" w:after="0"/>
              <w:ind w:left="0" w:right="0" w:hanging="0"/>
              <w:jc w:val="right"/>
              <w:rPr/>
            </w:pPr>
            <w:r>
              <w:rPr/>
              <w:t>​</w:t>
            </w:r>
          </w:p>
        </w:tc>
        <w:tc>
          <w:tcPr>
            <w:tcW w:w="394" w:type="dxa"/>
            <w:tcBorders/>
            <w:vAlign w:val="center"/>
          </w:tcPr>
          <w:p>
            <w:pPr>
              <w:pStyle w:val="TableContents"/>
              <w:bidi w:val="0"/>
              <w:spacing w:before="0" w:after="0"/>
              <w:ind w:left="0" w:right="0" w:hanging="0"/>
              <w:jc w:val="left"/>
              <w:rPr/>
            </w:pPr>
            <w:r>
              <w:rPr/>
              <w:t>​</w:t>
            </w:r>
          </w:p>
        </w:tc>
      </w:tr>
      <w:tr>
        <w:trPr/>
        <w:tc>
          <w:tcPr>
            <w:tcW w:w="3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286"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right"/>
              <w:rPr/>
            </w:pPr>
            <w:r>
              <w:rPr/>
              <w:t> </w:t>
            </w:r>
          </w:p>
        </w:tc>
        <w:tc>
          <w:tcPr>
            <w:tcW w:w="1148"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right"/>
              <w:rPr/>
            </w:pPr>
            <w:r>
              <w:rPr/>
              <w:t> </w:t>
            </w:r>
          </w:p>
        </w:tc>
        <w:tc>
          <w:tcPr>
            <w:tcW w:w="1154"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78" w:type="dxa"/>
            <w:tcBorders/>
            <w:shd w:fill="CCEEFF" w:val="clear"/>
            <w:vAlign w:val="center"/>
          </w:tcPr>
          <w:p>
            <w:pPr>
              <w:pStyle w:val="TableContents"/>
              <w:bidi w:val="0"/>
              <w:spacing w:before="0" w:after="0"/>
              <w:ind w:left="0" w:right="0" w:hanging="0"/>
              <w:jc w:val="right"/>
              <w:rPr/>
            </w:pPr>
            <w:r>
              <w:rPr/>
              <w:t>​</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3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286"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right"/>
              <w:rPr/>
            </w:pPr>
            <w:r>
              <w:rPr/>
              <w:t>​</w:t>
            </w:r>
          </w:p>
        </w:tc>
        <w:tc>
          <w:tcPr>
            <w:tcW w:w="11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w:t>
            </w:r>
          </w:p>
        </w:tc>
        <w:tc>
          <w:tcPr>
            <w:tcW w:w="286"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w:t>
            </w:r>
          </w:p>
        </w:tc>
        <w:tc>
          <w:tcPr>
            <w:tcW w:w="386" w:type="dxa"/>
            <w:tcBorders/>
            <w:vAlign w:val="center"/>
          </w:tcPr>
          <w:p>
            <w:pPr>
              <w:pStyle w:val="TableContents"/>
              <w:bidi w:val="0"/>
              <w:spacing w:before="0" w:after="0"/>
              <w:ind w:left="0" w:right="0" w:hanging="0"/>
              <w:jc w:val="right"/>
              <w:rPr/>
            </w:pPr>
            <w:r>
              <w:rPr/>
              <w:t>​</w:t>
            </w:r>
          </w:p>
        </w:tc>
        <w:tc>
          <w:tcPr>
            <w:tcW w:w="11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w:t>
            </w:r>
          </w:p>
        </w:tc>
        <w:tc>
          <w:tcPr>
            <w:tcW w:w="286"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right"/>
              <w:rPr/>
            </w:pPr>
            <w:r>
              <w:rPr/>
              <w:t>​</w:t>
            </w:r>
          </w:p>
        </w:tc>
        <w:tc>
          <w:tcPr>
            <w:tcW w:w="6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c>
          <w:tcPr>
            <w:tcW w:w="394" w:type="dxa"/>
            <w:tcBorders/>
            <w:vAlign w:val="center"/>
          </w:tcPr>
          <w:p>
            <w:pPr>
              <w:pStyle w:val="TableContents"/>
              <w:bidi w:val="0"/>
              <w:spacing w:before="0" w:after="0"/>
              <w:ind w:left="0" w:right="0" w:hanging="0"/>
              <w:jc w:val="left"/>
              <w:rPr/>
            </w:pPr>
            <w:r>
              <w:rPr/>
              <w:t>​</w:t>
            </w:r>
          </w:p>
        </w:tc>
      </w:tr>
      <w:tr>
        <w:trPr/>
        <w:tc>
          <w:tcPr>
            <w:tcW w:w="3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286"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right"/>
              <w:rPr/>
            </w:pPr>
            <w:r>
              <w:rPr/>
              <w:t> </w:t>
            </w:r>
          </w:p>
        </w:tc>
        <w:tc>
          <w:tcPr>
            <w:tcW w:w="11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286" w:type="dxa"/>
            <w:tcBorders/>
            <w:shd w:fill="CCEEFF" w:val="clear"/>
            <w:vAlign w:val="center"/>
          </w:tcPr>
          <w:p>
            <w:pPr>
              <w:pStyle w:val="TableContents"/>
              <w:bidi w:val="0"/>
              <w:spacing w:before="0" w:after="0"/>
              <w:ind w:left="0" w:right="0" w:hanging="0"/>
              <w:jc w:val="righ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w:t>
            </w:r>
          </w:p>
        </w:tc>
        <w:tc>
          <w:tcPr>
            <w:tcW w:w="386" w:type="dxa"/>
            <w:tcBorders/>
            <w:shd w:fill="CCEEFF" w:val="clear"/>
            <w:vAlign w:val="center"/>
          </w:tcPr>
          <w:p>
            <w:pPr>
              <w:pStyle w:val="TableContents"/>
              <w:bidi w:val="0"/>
              <w:spacing w:before="0" w:after="0"/>
              <w:ind w:left="0" w:right="0" w:hanging="0"/>
              <w:jc w:val="right"/>
              <w:rPr/>
            </w:pPr>
            <w:r>
              <w:rPr/>
              <w:t> </w:t>
            </w:r>
          </w:p>
        </w:tc>
        <w:tc>
          <w:tcPr>
            <w:tcW w:w="11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286" w:type="dxa"/>
            <w:tcBorders/>
            <w:shd w:fill="CCEEFF" w:val="clear"/>
            <w:vAlign w:val="center"/>
          </w:tcPr>
          <w:p>
            <w:pPr>
              <w:pStyle w:val="TableContents"/>
              <w:bidi w:val="0"/>
              <w:spacing w:before="0" w:after="0"/>
              <w:ind w:left="0" w:right="0" w:hanging="0"/>
              <w:jc w:val="righ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right"/>
              <w:rPr/>
            </w:pPr>
            <w:r>
              <w:rPr/>
              <w:t> </w:t>
            </w:r>
          </w:p>
        </w:tc>
        <w:tc>
          <w:tcPr>
            <w:tcW w:w="6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3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286"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right"/>
              <w:rPr/>
            </w:pPr>
            <w:r>
              <w:rPr/>
              <w:t>​</w:t>
            </w:r>
          </w:p>
        </w:tc>
        <w:tc>
          <w:tcPr>
            <w:tcW w:w="11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10,659</w:t>
            </w:r>
          </w:p>
        </w:tc>
        <w:tc>
          <w:tcPr>
            <w:tcW w:w="286"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w:t>
            </w:r>
          </w:p>
        </w:tc>
        <w:tc>
          <w:tcPr>
            <w:tcW w:w="386" w:type="dxa"/>
            <w:tcBorders/>
            <w:vAlign w:val="center"/>
          </w:tcPr>
          <w:p>
            <w:pPr>
              <w:pStyle w:val="TableContents"/>
              <w:bidi w:val="0"/>
              <w:spacing w:before="0" w:after="0"/>
              <w:ind w:left="0" w:right="0" w:hanging="0"/>
              <w:jc w:val="right"/>
              <w:rPr/>
            </w:pPr>
            <w:r>
              <w:rPr/>
              <w:t>​</w:t>
            </w:r>
          </w:p>
        </w:tc>
        <w:tc>
          <w:tcPr>
            <w:tcW w:w="11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4,784</w:t>
            </w:r>
          </w:p>
        </w:tc>
        <w:tc>
          <w:tcPr>
            <w:tcW w:w="286"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right"/>
              <w:rPr/>
            </w:pPr>
            <w:r>
              <w:rPr/>
              <w:t>​</w:t>
            </w:r>
          </w:p>
        </w:tc>
        <w:tc>
          <w:tcPr>
            <w:tcW w:w="6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5,875</w:t>
            </w:r>
          </w:p>
        </w:tc>
        <w:tc>
          <w:tcPr>
            <w:tcW w:w="394" w:type="dxa"/>
            <w:tcBorders/>
            <w:vAlign w:val="center"/>
          </w:tcPr>
          <w:p>
            <w:pPr>
              <w:pStyle w:val="TableContents"/>
              <w:bidi w:val="0"/>
              <w:spacing w:before="0" w:after="0"/>
              <w:ind w:left="0" w:right="0" w:hanging="0"/>
              <w:jc w:val="left"/>
              <w:rPr/>
            </w:pPr>
            <w:r>
              <w:rPr/>
              <w:t>​</w:t>
            </w:r>
          </w:p>
        </w:tc>
      </w:tr>
      <w:tr>
        <w:trPr/>
        <w:tc>
          <w:tcPr>
            <w:tcW w:w="3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administration</w:t>
            </w:r>
          </w:p>
        </w:tc>
        <w:tc>
          <w:tcPr>
            <w:tcW w:w="286" w:type="dxa"/>
            <w:tcBorders/>
            <w:shd w:fill="CCEEFF" w:val="clear"/>
            <w:vAlign w:val="center"/>
          </w:tcPr>
          <w:p>
            <w:pPr>
              <w:pStyle w:val="TableContents"/>
              <w:bidi w:val="0"/>
              <w:spacing w:before="0" w:after="0"/>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1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4,639</w:t>
            </w:r>
          </w:p>
        </w:tc>
        <w:tc>
          <w:tcPr>
            <w:tcW w:w="286" w:type="dxa"/>
            <w:tcBorders/>
            <w:shd w:fill="CCEEFF" w:val="clear"/>
            <w:vAlign w:val="center"/>
          </w:tcPr>
          <w:p>
            <w:pPr>
              <w:pStyle w:val="TableContents"/>
              <w:bidi w:val="0"/>
              <w:spacing w:before="0" w:after="0"/>
              <w:ind w:left="0" w:right="0" w:hanging="0"/>
              <w:jc w:val="righ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1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6,526</w:t>
            </w:r>
          </w:p>
        </w:tc>
        <w:tc>
          <w:tcPr>
            <w:tcW w:w="286" w:type="dxa"/>
            <w:tcBorders/>
            <w:shd w:fill="CCEEFF" w:val="clear"/>
            <w:vAlign w:val="center"/>
          </w:tcPr>
          <w:p>
            <w:pPr>
              <w:pStyle w:val="TableContents"/>
              <w:bidi w:val="0"/>
              <w:spacing w:before="0" w:after="0"/>
              <w:ind w:left="0" w:right="0" w:hanging="0"/>
              <w:jc w:val="righ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(1,887)</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3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w:t>
            </w:r>
          </w:p>
        </w:tc>
        <w:tc>
          <w:tcPr>
            <w:tcW w:w="286" w:type="dxa"/>
            <w:tcBorders/>
            <w:vAlign w:val="center"/>
          </w:tcPr>
          <w:p>
            <w:pPr>
              <w:pStyle w:val="TableContents"/>
              <w:bidi w:val="0"/>
              <w:spacing w:before="0" w:after="0"/>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1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16,137</w:t>
            </w:r>
          </w:p>
        </w:tc>
        <w:tc>
          <w:tcPr>
            <w:tcW w:w="286" w:type="dxa"/>
            <w:tcBorders/>
            <w:vAlign w:val="center"/>
          </w:tcPr>
          <w:p>
            <w:pPr>
              <w:pStyle w:val="TableContents"/>
              <w:bidi w:val="0"/>
              <w:spacing w:before="0" w:after="0"/>
              <w:ind w:left="0" w:right="0" w:hanging="0"/>
              <w:jc w:val="righ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w:t>
            </w:r>
          </w:p>
        </w:tc>
        <w:tc>
          <w:tcPr>
            <w:tcW w:w="38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1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12,384</w:t>
            </w:r>
          </w:p>
        </w:tc>
        <w:tc>
          <w:tcPr>
            <w:tcW w:w="286" w:type="dxa"/>
            <w:tcBorders/>
            <w:vAlign w:val="center"/>
          </w:tcPr>
          <w:p>
            <w:pPr>
              <w:pStyle w:val="TableContents"/>
              <w:bidi w:val="0"/>
              <w:spacing w:before="0" w:after="0"/>
              <w:ind w:left="0" w:right="0" w:hanging="0"/>
              <w:jc w:val="righ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3,753</w:t>
            </w:r>
          </w:p>
        </w:tc>
        <w:tc>
          <w:tcPr>
            <w:tcW w:w="394" w:type="dxa"/>
            <w:tcBorders/>
            <w:vAlign w:val="center"/>
          </w:tcPr>
          <w:p>
            <w:pPr>
              <w:pStyle w:val="TableContents"/>
              <w:bidi w:val="0"/>
              <w:spacing w:before="0" w:after="0"/>
              <w:ind w:left="0" w:right="0" w:hanging="0"/>
              <w:jc w:val="left"/>
              <w:rPr/>
            </w:pPr>
            <w:r>
              <w:rPr/>
              <w:t>​</w:t>
            </w:r>
          </w:p>
        </w:tc>
      </w:tr>
      <w:tr>
        <w:trPr/>
        <w:tc>
          <w:tcPr>
            <w:tcW w:w="3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Income/(loss) from operations</w:t>
            </w:r>
          </w:p>
        </w:tc>
        <w:tc>
          <w:tcPr>
            <w:tcW w:w="286" w:type="dxa"/>
            <w:tcBorders/>
            <w:shd w:fill="CCEEFF" w:val="clear"/>
            <w:vAlign w:val="center"/>
          </w:tcPr>
          <w:p>
            <w:pPr>
              <w:pStyle w:val="TableContents"/>
              <w:bidi w:val="0"/>
              <w:spacing w:before="0" w:after="0"/>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1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1,737</w:t>
            </w:r>
          </w:p>
        </w:tc>
        <w:tc>
          <w:tcPr>
            <w:tcW w:w="286" w:type="dxa"/>
            <w:tcBorders/>
            <w:shd w:fill="CCEEFF" w:val="clear"/>
            <w:vAlign w:val="center"/>
          </w:tcPr>
          <w:p>
            <w:pPr>
              <w:pStyle w:val="TableContents"/>
              <w:bidi w:val="0"/>
              <w:spacing w:before="0" w:after="0"/>
              <w:ind w:left="0" w:right="0" w:hanging="0"/>
              <w:jc w:val="righ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righ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1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(2,732)</w:t>
            </w:r>
          </w:p>
        </w:tc>
        <w:tc>
          <w:tcPr>
            <w:tcW w:w="286" w:type="dxa"/>
            <w:tcBorders/>
            <w:shd w:fill="CCEEFF" w:val="clear"/>
            <w:vAlign w:val="center"/>
          </w:tcPr>
          <w:p>
            <w:pPr>
              <w:pStyle w:val="TableContents"/>
              <w:bidi w:val="0"/>
              <w:spacing w:before="0" w:after="0"/>
              <w:ind w:left="0" w:right="0" w:hanging="0"/>
              <w:jc w:val="righ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4,469</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342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right"/>
              <w:rPr/>
            </w:pPr>
            <w:r>
              <w:rPr/>
              <w:t>​</w:t>
            </w:r>
          </w:p>
        </w:tc>
        <w:tc>
          <w:tcPr>
            <w:tcW w:w="1148"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right"/>
              <w:rPr/>
            </w:pPr>
            <w:r>
              <w:rPr/>
              <w:t>​</w:t>
            </w:r>
          </w:p>
        </w:tc>
        <w:tc>
          <w:tcPr>
            <w:tcW w:w="1154"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78" w:type="dxa"/>
            <w:tcBorders/>
            <w:vAlign w:val="center"/>
          </w:tcPr>
          <w:p>
            <w:pPr>
              <w:pStyle w:val="TableContents"/>
              <w:bidi w:val="0"/>
              <w:spacing w:before="0" w:after="0"/>
              <w:ind w:left="0" w:right="0" w:hanging="0"/>
              <w:jc w:val="right"/>
              <w:rPr/>
            </w:pPr>
            <w:r>
              <w:rPr/>
              <w:t>​</w:t>
            </w:r>
          </w:p>
        </w:tc>
        <w:tc>
          <w:tcPr>
            <w:tcW w:w="394" w:type="dxa"/>
            <w:tcBorders/>
            <w:vAlign w:val="center"/>
          </w:tcPr>
          <w:p>
            <w:pPr>
              <w:pStyle w:val="TableContents"/>
              <w:bidi w:val="0"/>
              <w:spacing w:before="0" w:after="0"/>
              <w:ind w:left="0" w:right="0" w:hanging="0"/>
              <w:jc w:val="left"/>
              <w:rPr/>
            </w:pPr>
            <w:r>
              <w:rPr/>
              <w:t>​</w:t>
            </w:r>
          </w:p>
        </w:tc>
      </w:tr>
      <w:tr>
        <w:trPr/>
        <w:tc>
          <w:tcPr>
            <w:tcW w:w="3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foreign exchange (loss)/gain</w:t>
            </w:r>
          </w:p>
        </w:tc>
        <w:tc>
          <w:tcPr>
            <w:tcW w:w="286"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right"/>
              <w:rPr/>
            </w:pPr>
            <w:r>
              <w:rPr/>
              <w:t> </w:t>
            </w:r>
          </w:p>
        </w:tc>
        <w:tc>
          <w:tcPr>
            <w:tcW w:w="11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286" w:type="dxa"/>
            <w:tcBorders/>
            <w:shd w:fill="CCEEFF" w:val="clear"/>
            <w:vAlign w:val="center"/>
          </w:tcPr>
          <w:p>
            <w:pPr>
              <w:pStyle w:val="TableContents"/>
              <w:bidi w:val="0"/>
              <w:spacing w:before="0" w:after="0"/>
              <w:ind w:left="0" w:right="0" w:hanging="0"/>
              <w:jc w:val="righ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right"/>
              <w:rPr/>
            </w:pPr>
            <w:r>
              <w:rPr/>
              <w:t> </w:t>
            </w:r>
          </w:p>
        </w:tc>
        <w:tc>
          <w:tcPr>
            <w:tcW w:w="11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286" w:type="dxa"/>
            <w:tcBorders/>
            <w:shd w:fill="CCEEFF" w:val="clear"/>
            <w:vAlign w:val="center"/>
          </w:tcPr>
          <w:p>
            <w:pPr>
              <w:pStyle w:val="TableContents"/>
              <w:bidi w:val="0"/>
              <w:spacing w:before="0" w:after="0"/>
              <w:ind w:left="0" w:right="0" w:hanging="0"/>
              <w:jc w:val="righ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3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286"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right"/>
              <w:rPr/>
            </w:pPr>
            <w:r>
              <w:rPr/>
              <w:t> </w:t>
            </w:r>
          </w:p>
        </w:tc>
        <w:tc>
          <w:tcPr>
            <w:tcW w:w="1148"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 </w:t>
            </w:r>
          </w:p>
        </w:tc>
        <w:tc>
          <w:tcPr>
            <w:tcW w:w="42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right"/>
              <w:rPr/>
            </w:pPr>
            <w:r>
              <w:rPr/>
              <w:t> </w:t>
            </w:r>
          </w:p>
        </w:tc>
        <w:tc>
          <w:tcPr>
            <w:tcW w:w="11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286" w:type="dxa"/>
            <w:tcBorders/>
            <w:vAlign w:val="center"/>
          </w:tcPr>
          <w:p>
            <w:pPr>
              <w:pStyle w:val="TableContents"/>
              <w:bidi w:val="0"/>
              <w:spacing w:before="0" w:after="0"/>
              <w:ind w:left="0" w:right="0" w:hanging="0"/>
              <w:jc w:val="right"/>
              <w:rPr/>
            </w:pPr>
            <w:r>
              <w:rPr/>
              <w:t> </w:t>
            </w:r>
          </w:p>
        </w:tc>
        <w:tc>
          <w:tcPr>
            <w:tcW w:w="42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6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94" w:type="dxa"/>
            <w:tcBorders/>
            <w:vAlign w:val="center"/>
          </w:tcPr>
          <w:p>
            <w:pPr>
              <w:pStyle w:val="TableContents"/>
              <w:bidi w:val="0"/>
              <w:spacing w:before="0" w:after="0"/>
              <w:ind w:left="0" w:right="0" w:hanging="0"/>
              <w:jc w:val="left"/>
              <w:rPr/>
            </w:pPr>
            <w:r>
              <w:rPr/>
              <w:t>​</w:t>
            </w:r>
          </w:p>
        </w:tc>
      </w:tr>
      <w:tr>
        <w:trPr/>
        <w:tc>
          <w:tcPr>
            <w:tcW w:w="3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securities</w:t>
            </w:r>
          </w:p>
        </w:tc>
        <w:tc>
          <w:tcPr>
            <w:tcW w:w="286"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right"/>
              <w:rPr/>
            </w:pPr>
            <w:r>
              <w:rPr/>
              <w:t>​</w:t>
            </w:r>
          </w:p>
        </w:tc>
        <w:tc>
          <w:tcPr>
            <w:tcW w:w="1148"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right"/>
              <w:rPr/>
            </w:pPr>
            <w:r>
              <w:rPr/>
              <w:t>​</w:t>
            </w:r>
          </w:p>
        </w:tc>
        <w:tc>
          <w:tcPr>
            <w:tcW w:w="11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286"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3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286"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right"/>
              <w:rPr/>
            </w:pPr>
            <w:r>
              <w:rPr/>
              <w:t> </w:t>
            </w:r>
          </w:p>
        </w:tc>
        <w:tc>
          <w:tcPr>
            <w:tcW w:w="11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c>
          <w:tcPr>
            <w:tcW w:w="286" w:type="dxa"/>
            <w:tcBorders/>
            <w:vAlign w:val="center"/>
          </w:tcPr>
          <w:p>
            <w:pPr>
              <w:pStyle w:val="TableContents"/>
              <w:bidi w:val="0"/>
              <w:spacing w:before="0" w:after="0"/>
              <w:ind w:left="0" w:right="0" w:hanging="0"/>
              <w:jc w:val="right"/>
              <w:rPr/>
            </w:pPr>
            <w:r>
              <w:rPr/>
              <w:t> </w:t>
            </w:r>
          </w:p>
        </w:tc>
        <w:tc>
          <w:tcPr>
            <w:tcW w:w="42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right"/>
              <w:rPr/>
            </w:pPr>
            <w:r>
              <w:rPr/>
              <w:t> </w:t>
            </w:r>
          </w:p>
        </w:tc>
        <w:tc>
          <w:tcPr>
            <w:tcW w:w="11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286" w:type="dxa"/>
            <w:tcBorders/>
            <w:vAlign w:val="center"/>
          </w:tcPr>
          <w:p>
            <w:pPr>
              <w:pStyle w:val="TableContents"/>
              <w:bidi w:val="0"/>
              <w:spacing w:before="0" w:after="0"/>
              <w:ind w:left="0" w:right="0" w:hanging="0"/>
              <w:jc w:val="right"/>
              <w:rPr/>
            </w:pPr>
            <w:r>
              <w:rPr/>
              <w:t> </w:t>
            </w:r>
          </w:p>
        </w:tc>
        <w:tc>
          <w:tcPr>
            <w:tcW w:w="42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6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394" w:type="dxa"/>
            <w:tcBorders/>
            <w:vAlign w:val="center"/>
          </w:tcPr>
          <w:p>
            <w:pPr>
              <w:pStyle w:val="TableContents"/>
              <w:bidi w:val="0"/>
              <w:spacing w:before="0" w:after="0"/>
              <w:ind w:left="0" w:right="0" w:hanging="0"/>
              <w:jc w:val="left"/>
              <w:rPr/>
            </w:pPr>
            <w:r>
              <w:rPr/>
              <w:t>​</w:t>
            </w:r>
          </w:p>
        </w:tc>
      </w:tr>
      <w:tr>
        <w:trPr/>
        <w:tc>
          <w:tcPr>
            <w:tcW w:w="3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286" w:type="dxa"/>
            <w:tcBorders/>
            <w:shd w:fill="CCEEFF" w:val="clear"/>
            <w:vAlign w:val="center"/>
          </w:tcPr>
          <w:p>
            <w:pPr>
              <w:pStyle w:val="TableContents"/>
              <w:bidi w:val="0"/>
              <w:spacing w:before="0" w:after="0"/>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286" w:type="dxa"/>
            <w:tcBorders/>
            <w:shd w:fill="CCEEFF" w:val="clear"/>
            <w:vAlign w:val="center"/>
          </w:tcPr>
          <w:p>
            <w:pPr>
              <w:pStyle w:val="TableContents"/>
              <w:bidi w:val="0"/>
              <w:spacing w:before="0" w:after="0"/>
              <w:ind w:left="0" w:right="0" w:hanging="0"/>
              <w:jc w:val="righ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righ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w:t>
            </w:r>
          </w:p>
        </w:tc>
        <w:tc>
          <w:tcPr>
            <w:tcW w:w="2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3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Income/(loss) before provision for income taxes</w:t>
            </w:r>
          </w:p>
        </w:tc>
        <w:tc>
          <w:tcPr>
            <w:tcW w:w="286"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right"/>
              <w:rPr/>
            </w:pPr>
            <w:r>
              <w:rPr/>
              <w:t>​</w:t>
            </w:r>
          </w:p>
        </w:tc>
        <w:tc>
          <w:tcPr>
            <w:tcW w:w="11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2,015</w:t>
            </w:r>
          </w:p>
        </w:tc>
        <w:tc>
          <w:tcPr>
            <w:tcW w:w="286" w:type="dxa"/>
            <w:tcBorders/>
            <w:vAlign w:val="center"/>
          </w:tcPr>
          <w:p>
            <w:pPr>
              <w:pStyle w:val="TableContents"/>
              <w:bidi w:val="0"/>
              <w:spacing w:before="0" w:after="0"/>
              <w:ind w:left="0" w:right="0" w:hanging="0"/>
              <w:jc w:val="right"/>
              <w:rPr/>
            </w:pPr>
            <w:r>
              <w:rPr/>
              <w:t> </w:t>
            </w:r>
          </w:p>
        </w:tc>
        <w:tc>
          <w:tcPr>
            <w:tcW w:w="42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right"/>
              <w:rPr/>
            </w:pPr>
            <w:r>
              <w:rPr/>
              <w:t>​</w:t>
            </w:r>
          </w:p>
        </w:tc>
        <w:tc>
          <w:tcPr>
            <w:tcW w:w="11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(3,152)</w:t>
            </w:r>
          </w:p>
        </w:tc>
        <w:tc>
          <w:tcPr>
            <w:tcW w:w="286"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5,167</w:t>
            </w:r>
          </w:p>
        </w:tc>
        <w:tc>
          <w:tcPr>
            <w:tcW w:w="394" w:type="dxa"/>
            <w:tcBorders/>
            <w:vAlign w:val="center"/>
          </w:tcPr>
          <w:p>
            <w:pPr>
              <w:pStyle w:val="TableContents"/>
              <w:bidi w:val="0"/>
              <w:spacing w:before="0" w:after="0"/>
              <w:ind w:left="0" w:right="0" w:hanging="0"/>
              <w:jc w:val="left"/>
              <w:rPr/>
            </w:pPr>
            <w:r>
              <w:rPr/>
              <w:t>​</w:t>
            </w:r>
          </w:p>
        </w:tc>
      </w:tr>
      <w:tr>
        <w:trPr/>
        <w:tc>
          <w:tcPr>
            <w:tcW w:w="3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286" w:type="dxa"/>
            <w:tcBorders/>
            <w:shd w:fill="CCEEFF" w:val="clear"/>
            <w:vAlign w:val="center"/>
          </w:tcPr>
          <w:p>
            <w:pPr>
              <w:pStyle w:val="TableContents"/>
              <w:bidi w:val="0"/>
              <w:spacing w:before="0" w:after="0"/>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286"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3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income/(loss)</w:t>
            </w:r>
          </w:p>
        </w:tc>
        <w:tc>
          <w:tcPr>
            <w:tcW w:w="286" w:type="dxa"/>
            <w:tcBorders/>
            <w:vAlign w:val="center"/>
          </w:tcPr>
          <w:p>
            <w:pPr>
              <w:pStyle w:val="TableContents"/>
              <w:bidi w:val="0"/>
              <w:spacing w:before="0" w:after="0"/>
              <w:ind w:left="0" w:right="0" w:hanging="0"/>
              <w:jc w:val="left"/>
              <w:rPr/>
            </w:pPr>
            <w:r>
              <w:rPr/>
              <w:t>​</w:t>
            </w:r>
          </w:p>
        </w:tc>
        <w:tc>
          <w:tcPr>
            <w:tcW w:w="3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1,973</w:t>
            </w:r>
          </w:p>
        </w:tc>
        <w:tc>
          <w:tcPr>
            <w:tcW w:w="286" w:type="dxa"/>
            <w:tcBorders/>
            <w:vAlign w:val="center"/>
          </w:tcPr>
          <w:p>
            <w:pPr>
              <w:pStyle w:val="TableContents"/>
              <w:bidi w:val="0"/>
              <w:spacing w:before="0" w:after="0"/>
              <w:ind w:left="0" w:right="0" w:hanging="0"/>
              <w:jc w:val="right"/>
              <w:rPr/>
            </w:pPr>
            <w:r>
              <w:rPr/>
              <w:t> </w:t>
            </w:r>
          </w:p>
        </w:tc>
        <w:tc>
          <w:tcPr>
            <w:tcW w:w="42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pPr>
            <w:r>
              <w:rPr/>
              <w:t>​</w:t>
            </w:r>
          </w:p>
        </w:tc>
        <w:tc>
          <w:tcPr>
            <w:tcW w:w="38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(3,152)</w:t>
            </w:r>
          </w:p>
        </w:tc>
        <w:tc>
          <w:tcPr>
            <w:tcW w:w="286" w:type="dxa"/>
            <w:tcBorders/>
            <w:vAlign w:val="center"/>
          </w:tcPr>
          <w:p>
            <w:pPr>
              <w:pStyle w:val="TableContents"/>
              <w:bidi w:val="0"/>
              <w:spacing w:before="0" w:after="0"/>
              <w:ind w:left="0" w:right="0" w:hanging="0"/>
              <w:jc w:val="right"/>
              <w:rPr/>
            </w:pPr>
            <w:r>
              <w:rPr/>
              <w:t> </w:t>
            </w:r>
          </w:p>
        </w:tc>
        <w:tc>
          <w:tcPr>
            <w:tcW w:w="42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5,125</w:t>
            </w:r>
          </w:p>
        </w:tc>
        <w:tc>
          <w:tcPr>
            <w:tcW w:w="394" w:type="dxa"/>
            <w:tcBorders/>
            <w:vAlign w:val="center"/>
          </w:tcPr>
          <w:p>
            <w:pPr>
              <w:pStyle w:val="TableContents"/>
              <w:bidi w:val="0"/>
              <w:spacing w:before="0" w:after="0"/>
              <w:ind w:left="0" w:right="0" w:hanging="0"/>
              <w:jc w:val="left"/>
              <w:rPr/>
            </w:pPr>
            <w:r>
              <w:rPr/>
              <w:t>​</w:t>
            </w:r>
          </w:p>
        </w:tc>
      </w:tr>
      <w:tr>
        <w:trPr/>
        <w:tc>
          <w:tcPr>
            <w:tcW w:w="3420"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1148"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8"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The Company recorded net product sales of $17,164 in the second quarter of 2026 compared to $9,652 in  the comparable period in 2025 as the Company increased market penetration and access for PEDMARK</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and as the Company expanded its focus to the adolescent and young adult (AYA) population. Further, the Company recorded $710 in other revenue related to the Norgine transaction in the three months ended June 30, 2026 compared to $0 in the comparable period in 2025.</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sales decreased by $246 for the second quarter of 2026 compared to the comparable period in 2025. The improvement was primarily driven by greater efficiencies in manufacturing and inventory management.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increased by $11 for the three-month period ended June 30, 2026, as compared to the same period in 2025. Our research and development activities for this period consisted of costs associated with investigator-initiated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Selling and marketing expenses include distribution costs, logistics, shipping and insurance, advertising, wages commissions and out-of-pocket expenses. We recorded $10,659 in selling and marketing expenses for the three-month period ended June 30, 2026, as compared to $4,784 for the same period in 2025. The increase is largely related to the higher commercial headcount expenses to support the </w:t>
            </w:r>
            <w:r>
              <w:rPr>
                <w:rFonts w:ascii="Times New Roman;Times;serif" w:hAnsi="Times New Roman;Times;serif"/>
                <w:b w:val="false"/>
                <w:i w:val="false"/>
                <w:caps w:val="false"/>
                <w:smallCaps w:val="false"/>
                <w:color w:val="27251E"/>
                <w:sz w:val="20"/>
              </w:rPr>
              <w:t>expansion of our sales organization to enhance coverage of the U.S. market and additional marketing and awareness initiatives in 2026</w:t>
            </w:r>
            <w:r>
              <w:rPr>
                <w:rFonts w:ascii="Times New Roman;Times;serif" w:hAnsi="Times New Roman;Times;serif"/>
                <w:b w:val="false"/>
                <w:i w:val="false"/>
                <w:caps w:val="false"/>
                <w:smallCaps w:val="false"/>
                <w:sz w:val="20"/>
              </w:rPr>
              <w: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There was a $1,887 decrease in general and administrative expenses for the three-month period ended June 30, 2026 compared to the same period in 2025. The decrease was primarily due to </w:t>
            </w:r>
            <w:r>
              <w:rPr>
                <w:rFonts w:ascii="Times New Roman;Times;serif" w:hAnsi="Times New Roman;Times;serif"/>
                <w:b w:val="false"/>
                <w:i w:val="false"/>
                <w:caps w:val="false"/>
                <w:smallCaps w:val="false"/>
                <w:color w:val="27251E"/>
                <w:sz w:val="20"/>
              </w:rPr>
              <w:t xml:space="preserve">lower legal and professional fees as patent litigation activities related to CIPLA concluded and the reallocation of certain employee-related and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7251E"/>
                <w:sz w:val="20"/>
              </w:rPr>
            </w:pPr>
            <w:r>
              <w:rPr>
                <w:rFonts w:ascii="Times New Roman;Times;serif" w:hAnsi="Times New Roman;Times;serif"/>
                <w:b w:val="false"/>
                <w:i w:val="false"/>
                <w:caps w:val="false"/>
                <w:smallCaps w:val="false"/>
                <w:color w:val="27251E"/>
                <w:sz w:val="20"/>
              </w:rPr>
              <w:t>equity-based compensation costs to selling and marketing expenses beginning in the first quarter of 2026 from general and administrative expenses.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decreased by $591 for the three-month period ended June 30, 2026 compared to the same period in 2025. The decrease was primarily due to full repayment of the Petrichor convertible notes in the fourth quarter of 2025, which eliminated related interest in 2026.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increased in the three-month period ended June 30, 2026 as compared to the same period in 2025 by $116, driven by higher average cash balances on money market investments.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Six months ended June 30, 2026, versus six months ended June 30, 2025:</w:t>
      </w:r>
    </w:p>
    <w:tbl>
      <w:tblPr>
        <w:tblW w:w="10205" w:type="dxa"/>
        <w:jc w:val="left"/>
        <w:tblInd w:w="0" w:type="dxa"/>
        <w:tblLayout w:type="fixed"/>
        <w:tblCellMar>
          <w:top w:w="0" w:type="dxa"/>
          <w:left w:w="0" w:type="dxa"/>
          <w:bottom w:w="0" w:type="dxa"/>
          <w:right w:w="0" w:type="dxa"/>
        </w:tblCellMar>
      </w:tblPr>
      <w:tblGrid>
        <w:gridCol w:w="3792"/>
        <w:gridCol w:w="346"/>
        <w:gridCol w:w="346"/>
        <w:gridCol w:w="1086"/>
        <w:gridCol w:w="346"/>
        <w:gridCol w:w="421"/>
        <w:gridCol w:w="361"/>
        <w:gridCol w:w="340"/>
        <w:gridCol w:w="1092"/>
        <w:gridCol w:w="346"/>
        <w:gridCol w:w="421"/>
        <w:gridCol w:w="361"/>
        <w:gridCol w:w="211"/>
        <w:gridCol w:w="736"/>
      </w:tblGrid>
      <w:tr>
        <w:trPr/>
        <w:tc>
          <w:tcPr>
            <w:tcW w:w="3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407920" cy="175260"/>
                      <wp:effectExtent l="0" t="0" r="0" b="0"/>
                      <wp:wrapNone/>
                      <wp:docPr id="170" name="Frame170"/>
                      <a:graphic xmlns:a="http://schemas.openxmlformats.org/drawingml/2006/main">
                        <a:graphicData uri="http://schemas.microsoft.com/office/word/2010/wordprocessingShape">
                          <wps:wsp>
                            <wps:cNvSpPr txBox="1"/>
                            <wps:spPr>
                              <a:xfrm>
                                <a:off x="0" y="0"/>
                                <a:ext cx="2407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1"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2"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89610" cy="175260"/>
                      <wp:effectExtent l="0" t="0" r="0" b="0"/>
                      <wp:wrapNone/>
                      <wp:docPr id="173" name="Frame173"/>
                      <a:graphic xmlns:a="http://schemas.openxmlformats.org/drawingml/2006/main">
                        <a:graphicData uri="http://schemas.microsoft.com/office/word/2010/wordprocessingShape">
                          <wps:wsp>
                            <wps:cNvSpPr txBox="1"/>
                            <wps:spPr>
                              <a:xfrm>
                                <a:off x="0" y="0"/>
                                <a:ext cx="689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4"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67335" cy="175260"/>
                      <wp:effectExtent l="0" t="0" r="0" b="0"/>
                      <wp:wrapNone/>
                      <wp:docPr id="175" name="Frame17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29235" cy="175260"/>
                      <wp:effectExtent l="0" t="0" r="0" b="0"/>
                      <wp:wrapNone/>
                      <wp:docPr id="176" name="Frame17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5900" cy="175260"/>
                      <wp:effectExtent l="0" t="0" r="0" b="0"/>
                      <wp:wrapNone/>
                      <wp:docPr id="177" name="Frame177"/>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3420" cy="175260"/>
                      <wp:effectExtent l="0" t="0" r="0" b="0"/>
                      <wp:wrapNone/>
                      <wp:docPr id="178" name="Frame178"/>
                      <a:graphic xmlns:a="http://schemas.openxmlformats.org/drawingml/2006/main">
                        <a:graphicData uri="http://schemas.microsoft.com/office/word/2010/wordprocessingShape">
                          <wps:wsp>
                            <wps:cNvSpPr txBox="1"/>
                            <wps:spPr>
                              <a:xfrm>
                                <a:off x="0" y="0"/>
                                <a:ext cx="693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79"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67335" cy="175260"/>
                      <wp:effectExtent l="0" t="0" r="0" b="0"/>
                      <wp:wrapNone/>
                      <wp:docPr id="180" name="Frame18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29235" cy="175260"/>
                      <wp:effectExtent l="0" t="0" r="0" b="0"/>
                      <wp:wrapNone/>
                      <wp:docPr id="181" name="Frame18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2"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67360" cy="175260"/>
                      <wp:effectExtent l="0" t="0" r="0" b="0"/>
                      <wp:wrapNone/>
                      <wp:docPr id="183" name="Frame18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9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43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  ​ ​ ​</w:t>
            </w:r>
          </w:p>
        </w:tc>
        <w:tc>
          <w:tcPr>
            <w:tcW w:w="361" w:type="dxa"/>
            <w:tcBorders/>
            <w:vAlign w:val="center"/>
          </w:tcPr>
          <w:p>
            <w:pPr>
              <w:pStyle w:val="TableContents"/>
              <w:bidi w:val="0"/>
              <w:spacing w:before="0" w:after="1"/>
              <w:ind w:left="0" w:right="0" w:hanging="0"/>
              <w:jc w:val="center"/>
              <w:rPr/>
            </w:pPr>
            <w:r>
              <w:rPr/>
              <w:t>​</w:t>
            </w:r>
          </w:p>
        </w:tc>
        <w:tc>
          <w:tcPr>
            <w:tcW w:w="143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  ​ ​ ​</w:t>
            </w:r>
          </w:p>
        </w:tc>
        <w:tc>
          <w:tcPr>
            <w:tcW w:w="361" w:type="dxa"/>
            <w:tcBorders/>
            <w:vAlign w:val="center"/>
          </w:tcPr>
          <w:p>
            <w:pPr>
              <w:pStyle w:val="TableContents"/>
              <w:bidi w:val="0"/>
              <w:spacing w:before="0" w:after="1"/>
              <w:ind w:left="0" w:right="0" w:hanging="0"/>
              <w:jc w:val="center"/>
              <w:rPr/>
            </w:pPr>
            <w:r>
              <w:rPr/>
              <w:t>​</w:t>
            </w:r>
          </w:p>
        </w:tc>
        <w:tc>
          <w:tcPr>
            <w:tcW w:w="947" w:type="dxa"/>
            <w:gridSpan w:val="2"/>
            <w:tcBorders/>
            <w:vAlign w:val="center"/>
          </w:tcPr>
          <w:p>
            <w:pPr>
              <w:pStyle w:val="TableContents"/>
              <w:bidi w:val="0"/>
              <w:spacing w:before="0" w:after="1"/>
              <w:ind w:left="0" w:right="0" w:hanging="0"/>
              <w:jc w:val="center"/>
              <w:rPr/>
            </w:pPr>
            <w:r>
              <w:rPr/>
              <w:t>​</w:t>
            </w:r>
          </w:p>
        </w:tc>
      </w:tr>
      <w:tr>
        <w:trPr/>
        <w:tc>
          <w:tcPr>
            <w:tcW w:w="379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of U.S. Dollars</w:t>
            </w:r>
          </w:p>
        </w:tc>
        <w:tc>
          <w:tcPr>
            <w:tcW w:w="346" w:type="dxa"/>
            <w:tcBorders/>
            <w:vAlign w:val="center"/>
          </w:tcPr>
          <w:p>
            <w:pPr>
              <w:pStyle w:val="TableContents"/>
              <w:bidi w:val="0"/>
              <w:spacing w:before="0" w:after="1"/>
              <w:ind w:left="0" w:right="0" w:hanging="0"/>
              <w:jc w:val="left"/>
              <w:rPr/>
            </w:pPr>
            <w:r>
              <w:rPr/>
              <w:t>  ​ ​ ​</w:t>
            </w:r>
          </w:p>
        </w:tc>
        <w:tc>
          <w:tcPr>
            <w:tcW w:w="14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61" w:type="dxa"/>
            <w:tcBorders/>
            <w:vAlign w:val="center"/>
          </w:tcPr>
          <w:p>
            <w:pPr>
              <w:pStyle w:val="TableContents"/>
              <w:bidi w:val="0"/>
              <w:spacing w:before="0" w:after="1"/>
              <w:ind w:left="0" w:right="0" w:hanging="0"/>
              <w:jc w:val="left"/>
              <w:rPr/>
            </w:pPr>
            <w:r>
              <w:rPr/>
              <w:t>  ​ ​ ​</w:t>
            </w:r>
          </w:p>
        </w:tc>
        <w:tc>
          <w:tcPr>
            <w:tcW w:w="14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46" w:type="dxa"/>
            <w:tcBorders/>
            <w:vAlign w:val="center"/>
          </w:tcPr>
          <w:p>
            <w:pPr>
              <w:pStyle w:val="TableContents"/>
              <w:bidi w:val="0"/>
              <w:spacing w:before="0" w:after="1"/>
              <w:ind w:left="0" w:right="0" w:hanging="0"/>
              <w:jc w:val="left"/>
              <w:rPr/>
            </w:pPr>
            <w:r>
              <w:rPr/>
              <w:t>  ​ ​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61" w:type="dxa"/>
            <w:tcBorders/>
            <w:vAlign w:val="center"/>
          </w:tcPr>
          <w:p>
            <w:pPr>
              <w:pStyle w:val="TableContents"/>
              <w:bidi w:val="0"/>
              <w:spacing w:before="0" w:after="1"/>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7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PEDMARK product sales, net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32,272</w:t>
            </w:r>
          </w:p>
        </w:tc>
        <w:tc>
          <w:tcPr>
            <w:tcW w:w="346" w:type="dxa"/>
            <w:tcBorders/>
            <w:shd w:fill="CCEEFF" w:val="clear"/>
            <w:vAlign w:val="center"/>
          </w:tcPr>
          <w:p>
            <w:pPr>
              <w:pStyle w:val="TableContents"/>
              <w:bidi w:val="0"/>
              <w:spacing w:before="0" w:after="1"/>
              <w:ind w:left="0" w:right="0" w:hanging="0"/>
              <w:jc w:val="right"/>
              <w:rPr/>
            </w:pPr>
            <w:r>
              <w:rPr/>
              <w:t> </w:t>
            </w:r>
          </w:p>
        </w:tc>
        <w:tc>
          <w:tcPr>
            <w:tcW w:w="42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right"/>
              <w:rPr/>
            </w:pPr>
            <w:r>
              <w:rPr/>
              <w:t>​</w:t>
            </w:r>
          </w:p>
        </w:tc>
        <w:tc>
          <w:tcPr>
            <w:tcW w:w="3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18,403</w:t>
            </w:r>
          </w:p>
        </w:tc>
        <w:tc>
          <w:tcPr>
            <w:tcW w:w="346" w:type="dxa"/>
            <w:tcBorders/>
            <w:shd w:fill="CCEEFF" w:val="clear"/>
            <w:vAlign w:val="center"/>
          </w:tcPr>
          <w:p>
            <w:pPr>
              <w:pStyle w:val="TableContents"/>
              <w:bidi w:val="0"/>
              <w:spacing w:before="0" w:after="1"/>
              <w:ind w:left="0" w:right="0" w:hanging="0"/>
              <w:jc w:val="right"/>
              <w:rPr/>
            </w:pPr>
            <w:r>
              <w:rPr/>
              <w:t> </w:t>
            </w:r>
          </w:p>
        </w:tc>
        <w:tc>
          <w:tcPr>
            <w:tcW w:w="42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13,869</w:t>
            </w:r>
          </w:p>
        </w:tc>
      </w:tr>
      <w:tr>
        <w:trPr/>
        <w:tc>
          <w:tcPr>
            <w:tcW w:w="379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right"/>
              <w:rPr/>
            </w:pPr>
            <w:r>
              <w:rPr/>
              <w:t>​</w:t>
            </w:r>
          </w:p>
        </w:tc>
        <w:tc>
          <w:tcPr>
            <w:tcW w:w="34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w:t>
            </w:r>
          </w:p>
        </w:tc>
      </w:tr>
      <w:tr>
        <w:trPr/>
        <w:tc>
          <w:tcPr>
            <w:tcW w:w="37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32,982</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right"/>
              <w:rPr/>
            </w:pPr>
            <w:r>
              <w:rPr/>
              <w:t>​</w:t>
            </w:r>
          </w:p>
        </w:tc>
        <w:tc>
          <w:tcPr>
            <w:tcW w:w="3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18,403</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14,579</w:t>
            </w:r>
          </w:p>
        </w:tc>
      </w:tr>
      <w:tr>
        <w:trPr/>
        <w:tc>
          <w:tcPr>
            <w:tcW w:w="379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10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right"/>
              <w:rPr/>
            </w:pPr>
            <w:r>
              <w:rPr/>
              <w:t>​</w:t>
            </w:r>
          </w:p>
        </w:tc>
        <w:tc>
          <w:tcPr>
            <w:tcW w:w="340" w:type="dxa"/>
            <w:tcBorders/>
            <w:vAlign w:val="center"/>
          </w:tcPr>
          <w:p>
            <w:pPr>
              <w:pStyle w:val="TableContents"/>
              <w:bidi w:val="0"/>
              <w:spacing w:before="0" w:after="1"/>
              <w:ind w:left="0" w:right="0" w:hanging="0"/>
              <w:jc w:val="right"/>
              <w:rPr/>
            </w:pPr>
            <w:r>
              <w:rPr/>
              <w:t>​</w:t>
            </w:r>
          </w:p>
        </w:tc>
        <w:tc>
          <w:tcPr>
            <w:tcW w:w="109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37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10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42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right"/>
              <w:rPr/>
            </w:pPr>
            <w:r>
              <w:rPr/>
              <w:t>​</w:t>
            </w:r>
          </w:p>
        </w:tc>
        <w:tc>
          <w:tcPr>
            <w:tcW w:w="340" w:type="dxa"/>
            <w:tcBorders/>
            <w:shd w:fill="CCEEFF" w:val="clear"/>
            <w:vAlign w:val="center"/>
          </w:tcPr>
          <w:p>
            <w:pPr>
              <w:pStyle w:val="TableContents"/>
              <w:bidi w:val="0"/>
              <w:spacing w:before="0" w:after="1"/>
              <w:ind w:left="0" w:right="0" w:hanging="0"/>
              <w:jc w:val="right"/>
              <w:rPr/>
            </w:pPr>
            <w:r>
              <w:rPr/>
              <w:t> </w:t>
            </w:r>
          </w:p>
        </w:tc>
        <w:tc>
          <w:tcPr>
            <w:tcW w:w="109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42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379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10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1,291</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0" w:type="dxa"/>
            <w:tcBorders/>
            <w:vAlign w:val="center"/>
          </w:tcPr>
          <w:p>
            <w:pPr>
              <w:pStyle w:val="TableContents"/>
              <w:bidi w:val="0"/>
              <w:spacing w:before="0" w:after="1"/>
              <w:ind w:left="0" w:right="0" w:hanging="0"/>
              <w:jc w:val="right"/>
              <w:rPr/>
            </w:pPr>
            <w:r>
              <w:rPr/>
              <w:t>​</w:t>
            </w:r>
          </w:p>
        </w:tc>
        <w:tc>
          <w:tcPr>
            <w:tcW w:w="10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1,340</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righ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37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10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346" w:type="dxa"/>
            <w:tcBorders/>
            <w:shd w:fill="CCEEFF" w:val="clear"/>
            <w:vAlign w:val="center"/>
          </w:tcPr>
          <w:p>
            <w:pPr>
              <w:pStyle w:val="TableContents"/>
              <w:bidi w:val="0"/>
              <w:spacing w:before="0" w:after="1"/>
              <w:ind w:left="0" w:right="0" w:hanging="0"/>
              <w:jc w:val="right"/>
              <w:rPr/>
            </w:pPr>
            <w:r>
              <w:rPr/>
              <w:t> </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0" w:type="dxa"/>
            <w:tcBorders/>
            <w:shd w:fill="CCEEFF" w:val="clear"/>
            <w:vAlign w:val="center"/>
          </w:tcPr>
          <w:p>
            <w:pPr>
              <w:pStyle w:val="TableContents"/>
              <w:bidi w:val="0"/>
              <w:spacing w:before="0" w:after="1"/>
              <w:ind w:left="0" w:right="0" w:hanging="0"/>
              <w:jc w:val="right"/>
              <w:rPr/>
            </w:pPr>
            <w:r>
              <w:rPr/>
              <w:t> </w:t>
            </w:r>
          </w:p>
        </w:tc>
        <w:tc>
          <w:tcPr>
            <w:tcW w:w="10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w:t>
            </w:r>
          </w:p>
        </w:tc>
        <w:tc>
          <w:tcPr>
            <w:tcW w:w="346" w:type="dxa"/>
            <w:tcBorders/>
            <w:shd w:fill="CCEEFF" w:val="clear"/>
            <w:vAlign w:val="center"/>
          </w:tcPr>
          <w:p>
            <w:pPr>
              <w:pStyle w:val="TableContents"/>
              <w:bidi w:val="0"/>
              <w:spacing w:before="0" w:after="1"/>
              <w:ind w:left="0" w:right="0" w:hanging="0"/>
              <w:jc w:val="right"/>
              <w:rPr/>
            </w:pPr>
            <w:r>
              <w:rPr/>
              <w:t> </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righ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379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10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22,081</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0" w:type="dxa"/>
            <w:tcBorders/>
            <w:vAlign w:val="center"/>
          </w:tcPr>
          <w:p>
            <w:pPr>
              <w:pStyle w:val="TableContents"/>
              <w:bidi w:val="0"/>
              <w:spacing w:before="0" w:after="1"/>
              <w:ind w:left="0" w:right="0" w:hanging="0"/>
              <w:jc w:val="right"/>
              <w:rPr/>
            </w:pPr>
            <w:r>
              <w:rPr/>
              <w:t>​</w:t>
            </w:r>
          </w:p>
        </w:tc>
        <w:tc>
          <w:tcPr>
            <w:tcW w:w="10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8,011</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righ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14,070</w:t>
            </w:r>
          </w:p>
        </w:tc>
      </w:tr>
      <w:tr>
        <w:trPr/>
        <w:tc>
          <w:tcPr>
            <w:tcW w:w="37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administration</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0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7,825</w:t>
            </w:r>
          </w:p>
        </w:tc>
        <w:tc>
          <w:tcPr>
            <w:tcW w:w="346" w:type="dxa"/>
            <w:tcBorders/>
            <w:shd w:fill="CCEEFF" w:val="clear"/>
            <w:vAlign w:val="center"/>
          </w:tcPr>
          <w:p>
            <w:pPr>
              <w:pStyle w:val="TableContents"/>
              <w:bidi w:val="0"/>
              <w:spacing w:before="0" w:after="1"/>
              <w:ind w:left="0" w:right="0" w:hanging="0"/>
              <w:jc w:val="right"/>
              <w:rPr/>
            </w:pPr>
            <w:r>
              <w:rPr/>
              <w:t> </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0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12,391</w:t>
            </w:r>
          </w:p>
        </w:tc>
        <w:tc>
          <w:tcPr>
            <w:tcW w:w="346" w:type="dxa"/>
            <w:tcBorders/>
            <w:shd w:fill="CCEEFF" w:val="clear"/>
            <w:vAlign w:val="center"/>
          </w:tcPr>
          <w:p>
            <w:pPr>
              <w:pStyle w:val="TableContents"/>
              <w:bidi w:val="0"/>
              <w:spacing w:before="0" w:after="1"/>
              <w:ind w:left="0" w:right="0" w:hanging="0"/>
              <w:jc w:val="right"/>
              <w:rPr/>
            </w:pPr>
            <w:r>
              <w:rPr/>
              <w:t> </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(4,566)</w:t>
            </w:r>
          </w:p>
        </w:tc>
      </w:tr>
      <w:tr>
        <w:trPr/>
        <w:tc>
          <w:tcPr>
            <w:tcW w:w="379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0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31,364</w:t>
            </w:r>
          </w:p>
        </w:tc>
        <w:tc>
          <w:tcPr>
            <w:tcW w:w="346" w:type="dxa"/>
            <w:tcBorders/>
            <w:vAlign w:val="center"/>
          </w:tcPr>
          <w:p>
            <w:pPr>
              <w:pStyle w:val="TableContents"/>
              <w:bidi w:val="0"/>
              <w:spacing w:before="0" w:after="1"/>
              <w:ind w:left="0" w:right="0" w:hanging="0"/>
              <w:jc w:val="right"/>
              <w:rPr/>
            </w:pPr>
            <w:r>
              <w:rPr/>
              <w:t> </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0"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0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21,943</w:t>
            </w:r>
          </w:p>
        </w:tc>
        <w:tc>
          <w:tcPr>
            <w:tcW w:w="346" w:type="dxa"/>
            <w:tcBorders/>
            <w:vAlign w:val="center"/>
          </w:tcPr>
          <w:p>
            <w:pPr>
              <w:pStyle w:val="TableContents"/>
              <w:bidi w:val="0"/>
              <w:spacing w:before="0" w:after="1"/>
              <w:ind w:left="0" w:right="0" w:hanging="0"/>
              <w:jc w:val="right"/>
              <w:rPr/>
            </w:pPr>
            <w:r>
              <w:rPr/>
              <w:t> </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9,421</w:t>
            </w:r>
          </w:p>
        </w:tc>
      </w:tr>
      <w:tr>
        <w:trPr/>
        <w:tc>
          <w:tcPr>
            <w:tcW w:w="37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Income/(loss)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0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1,618</w:t>
            </w:r>
          </w:p>
        </w:tc>
        <w:tc>
          <w:tcPr>
            <w:tcW w:w="346" w:type="dxa"/>
            <w:tcBorders/>
            <w:shd w:fill="CCEEFF" w:val="clear"/>
            <w:vAlign w:val="center"/>
          </w:tcPr>
          <w:p>
            <w:pPr>
              <w:pStyle w:val="TableContents"/>
              <w:bidi w:val="0"/>
              <w:spacing w:before="0" w:after="1"/>
              <w:ind w:left="0" w:right="0" w:hanging="0"/>
              <w:jc w:val="right"/>
              <w:rPr/>
            </w:pPr>
            <w:r>
              <w:rPr/>
              <w:t> </w:t>
            </w:r>
          </w:p>
        </w:tc>
        <w:tc>
          <w:tcPr>
            <w:tcW w:w="42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right"/>
              <w:rPr/>
            </w:pPr>
            <w:r>
              <w:rPr/>
              <w:t>​</w:t>
            </w:r>
          </w:p>
        </w:tc>
        <w:tc>
          <w:tcPr>
            <w:tcW w:w="3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0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(3,540)</w:t>
            </w:r>
          </w:p>
        </w:tc>
        <w:tc>
          <w:tcPr>
            <w:tcW w:w="346" w:type="dxa"/>
            <w:tcBorders/>
            <w:shd w:fill="CCEEFF" w:val="clear"/>
            <w:vAlign w:val="center"/>
          </w:tcPr>
          <w:p>
            <w:pPr>
              <w:pStyle w:val="TableContents"/>
              <w:bidi w:val="0"/>
              <w:spacing w:before="0" w:after="1"/>
              <w:ind w:left="0" w:right="0" w:hanging="0"/>
              <w:jc w:val="right"/>
              <w:rPr/>
            </w:pPr>
            <w:r>
              <w:rPr/>
              <w:t> </w:t>
            </w:r>
          </w:p>
        </w:tc>
        <w:tc>
          <w:tcPr>
            <w:tcW w:w="42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5,158</w:t>
            </w:r>
          </w:p>
        </w:tc>
      </w:tr>
      <w:tr>
        <w:trPr/>
        <w:tc>
          <w:tcPr>
            <w:tcW w:w="379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10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right"/>
              <w:rPr/>
            </w:pPr>
            <w:r>
              <w:rPr/>
              <w:t>​</w:t>
            </w:r>
          </w:p>
        </w:tc>
        <w:tc>
          <w:tcPr>
            <w:tcW w:w="340" w:type="dxa"/>
            <w:tcBorders/>
            <w:vAlign w:val="center"/>
          </w:tcPr>
          <w:p>
            <w:pPr>
              <w:pStyle w:val="TableContents"/>
              <w:bidi w:val="0"/>
              <w:spacing w:before="0" w:after="1"/>
              <w:ind w:left="0" w:right="0" w:hanging="0"/>
              <w:jc w:val="right"/>
              <w:rPr/>
            </w:pPr>
            <w:r>
              <w:rPr/>
              <w:t>​</w:t>
            </w:r>
          </w:p>
        </w:tc>
        <w:tc>
          <w:tcPr>
            <w:tcW w:w="109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37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foreign exchange gain/(loss)</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10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1"/>
              <w:ind w:left="0" w:right="0" w:hanging="0"/>
              <w:jc w:val="right"/>
              <w:rPr/>
            </w:pPr>
            <w:r>
              <w:rPr/>
              <w:t> </w:t>
            </w:r>
          </w:p>
        </w:tc>
        <w:tc>
          <w:tcPr>
            <w:tcW w:w="42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right"/>
              <w:rPr/>
            </w:pPr>
            <w:r>
              <w:rPr/>
              <w:t>​</w:t>
            </w:r>
          </w:p>
        </w:tc>
        <w:tc>
          <w:tcPr>
            <w:tcW w:w="340" w:type="dxa"/>
            <w:tcBorders/>
            <w:shd w:fill="CCEEFF" w:val="clear"/>
            <w:vAlign w:val="center"/>
          </w:tcPr>
          <w:p>
            <w:pPr>
              <w:pStyle w:val="TableContents"/>
              <w:bidi w:val="0"/>
              <w:spacing w:before="0" w:after="1"/>
              <w:ind w:left="0" w:right="0" w:hanging="0"/>
              <w:jc w:val="right"/>
              <w:rPr/>
            </w:pPr>
            <w:r>
              <w:rPr/>
              <w:t> </w:t>
            </w:r>
          </w:p>
        </w:tc>
        <w:tc>
          <w:tcPr>
            <w:tcW w:w="10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shd w:fill="CCEEFF" w:val="clear"/>
            <w:vAlign w:val="center"/>
          </w:tcPr>
          <w:p>
            <w:pPr>
              <w:pStyle w:val="TableContents"/>
              <w:bidi w:val="0"/>
              <w:spacing w:before="0" w:after="1"/>
              <w:ind w:left="0" w:right="0" w:hanging="0"/>
              <w:jc w:val="right"/>
              <w:rPr/>
            </w:pPr>
            <w:r>
              <w:rPr/>
              <w:t> </w:t>
            </w:r>
          </w:p>
        </w:tc>
        <w:tc>
          <w:tcPr>
            <w:tcW w:w="42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379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10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right"/>
              <w:rPr/>
            </w:pPr>
            <w:r>
              <w:rPr/>
              <w:t>​</w:t>
            </w:r>
          </w:p>
        </w:tc>
        <w:tc>
          <w:tcPr>
            <w:tcW w:w="340" w:type="dxa"/>
            <w:tcBorders/>
            <w:vAlign w:val="center"/>
          </w:tcPr>
          <w:p>
            <w:pPr>
              <w:pStyle w:val="TableContents"/>
              <w:bidi w:val="0"/>
              <w:spacing w:before="0" w:after="1"/>
              <w:ind w:left="0" w:right="0" w:hanging="0"/>
              <w:jc w:val="right"/>
              <w:rPr/>
            </w:pPr>
            <w:r>
              <w:rPr/>
              <w:t>​</w:t>
            </w:r>
          </w:p>
        </w:tc>
        <w:tc>
          <w:tcPr>
            <w:tcW w:w="10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37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loss on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0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right"/>
              <w:rPr/>
            </w:pPr>
            <w:r>
              <w:rPr/>
              <w:t>​</w:t>
            </w:r>
          </w:p>
        </w:tc>
        <w:tc>
          <w:tcPr>
            <w:tcW w:w="340" w:type="dxa"/>
            <w:tcBorders/>
            <w:shd w:fill="CCEEFF" w:val="clear"/>
            <w:vAlign w:val="center"/>
          </w:tcPr>
          <w:p>
            <w:pPr>
              <w:pStyle w:val="TableContents"/>
              <w:bidi w:val="0"/>
              <w:spacing w:before="0" w:after="1"/>
              <w:ind w:left="0" w:right="0" w:hanging="0"/>
              <w:jc w:val="right"/>
              <w:rPr/>
            </w:pPr>
            <w:r>
              <w:rPr/>
              <w:t>​</w:t>
            </w:r>
          </w:p>
        </w:tc>
        <w:tc>
          <w:tcPr>
            <w:tcW w:w="10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79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Interest income </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 </w:t>
            </w:r>
          </w:p>
        </w:tc>
        <w:tc>
          <w:tcPr>
            <w:tcW w:w="10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w:t>
            </w:r>
          </w:p>
        </w:tc>
        <w:tc>
          <w:tcPr>
            <w:tcW w:w="346" w:type="dxa"/>
            <w:tcBorders/>
            <w:vAlign w:val="center"/>
          </w:tcPr>
          <w:p>
            <w:pPr>
              <w:pStyle w:val="TableContents"/>
              <w:bidi w:val="0"/>
              <w:spacing w:before="0" w:after="1"/>
              <w:ind w:left="0" w:right="0" w:hanging="0"/>
              <w:jc w:val="right"/>
              <w:rPr/>
            </w:pPr>
            <w:r>
              <w:rPr/>
              <w:t> </w:t>
            </w:r>
          </w:p>
        </w:tc>
        <w:tc>
          <w:tcPr>
            <w:tcW w:w="42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right"/>
              <w:rPr/>
            </w:pPr>
            <w:r>
              <w:rPr/>
              <w:t>​</w:t>
            </w:r>
          </w:p>
        </w:tc>
        <w:tc>
          <w:tcPr>
            <w:tcW w:w="340" w:type="dxa"/>
            <w:tcBorders/>
            <w:vAlign w:val="center"/>
          </w:tcPr>
          <w:p>
            <w:pPr>
              <w:pStyle w:val="TableContents"/>
              <w:bidi w:val="0"/>
              <w:spacing w:before="0" w:after="1"/>
              <w:ind w:left="0" w:right="0" w:hanging="0"/>
              <w:jc w:val="right"/>
              <w:rPr/>
            </w:pPr>
            <w:r>
              <w:rPr/>
              <w:t> </w:t>
            </w:r>
          </w:p>
        </w:tc>
        <w:tc>
          <w:tcPr>
            <w:tcW w:w="10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w:t>
            </w:r>
          </w:p>
        </w:tc>
        <w:tc>
          <w:tcPr>
            <w:tcW w:w="346" w:type="dxa"/>
            <w:tcBorders/>
            <w:vAlign w:val="center"/>
          </w:tcPr>
          <w:p>
            <w:pPr>
              <w:pStyle w:val="TableContents"/>
              <w:bidi w:val="0"/>
              <w:spacing w:before="0" w:after="1"/>
              <w:ind w:left="0" w:right="0" w:hanging="0"/>
              <w:jc w:val="right"/>
              <w:rPr/>
            </w:pPr>
            <w:r>
              <w:rPr/>
              <w:t> </w:t>
            </w:r>
          </w:p>
        </w:tc>
        <w:tc>
          <w:tcPr>
            <w:tcW w:w="42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w:t>
            </w:r>
          </w:p>
        </w:tc>
      </w:tr>
      <w:tr>
        <w:trPr/>
        <w:tc>
          <w:tcPr>
            <w:tcW w:w="37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right"/>
              <w:rPr/>
            </w:pPr>
            <w:r>
              <w:rPr/>
              <w:t>​</w:t>
            </w:r>
          </w:p>
        </w:tc>
        <w:tc>
          <w:tcPr>
            <w:tcW w:w="3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(1,186)</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1,176</w:t>
            </w:r>
          </w:p>
        </w:tc>
      </w:tr>
      <w:tr>
        <w:trPr/>
        <w:tc>
          <w:tcPr>
            <w:tcW w:w="379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Income/(loss) before provision for income taxes</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2,216</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right"/>
              <w:rPr/>
            </w:pPr>
            <w:r>
              <w:rPr/>
              <w:t>​</w:t>
            </w:r>
          </w:p>
        </w:tc>
        <w:tc>
          <w:tcPr>
            <w:tcW w:w="340" w:type="dxa"/>
            <w:tcBorders/>
            <w:vAlign w:val="center"/>
          </w:tcPr>
          <w:p>
            <w:pPr>
              <w:pStyle w:val="TableContents"/>
              <w:bidi w:val="0"/>
              <w:spacing w:before="0" w:after="1"/>
              <w:ind w:left="0" w:right="0" w:hanging="0"/>
              <w:jc w:val="right"/>
              <w:rPr/>
            </w:pPr>
            <w:r>
              <w:rPr/>
              <w:t>​</w:t>
            </w:r>
          </w:p>
        </w:tc>
        <w:tc>
          <w:tcPr>
            <w:tcW w:w="10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(4,317)</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6,533</w:t>
            </w:r>
          </w:p>
        </w:tc>
      </w:tr>
      <w:tr>
        <w:trPr/>
        <w:tc>
          <w:tcPr>
            <w:tcW w:w="37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right"/>
              <w:rPr/>
            </w:pPr>
            <w:r>
              <w:rPr/>
              <w:t>​</w:t>
            </w:r>
          </w:p>
        </w:tc>
        <w:tc>
          <w:tcPr>
            <w:tcW w:w="3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379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income/(loss)</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2,174</w:t>
            </w:r>
          </w:p>
        </w:tc>
        <w:tc>
          <w:tcPr>
            <w:tcW w:w="346" w:type="dxa"/>
            <w:tcBorders/>
            <w:vAlign w:val="center"/>
          </w:tcPr>
          <w:p>
            <w:pPr>
              <w:pStyle w:val="TableContents"/>
              <w:bidi w:val="0"/>
              <w:spacing w:before="0" w:after="1"/>
              <w:ind w:left="0" w:right="0" w:hanging="0"/>
              <w:jc w:val="right"/>
              <w:rPr/>
            </w:pPr>
            <w:r>
              <w:rPr/>
              <w:t> </w:t>
            </w:r>
          </w:p>
        </w:tc>
        <w:tc>
          <w:tcPr>
            <w:tcW w:w="42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right"/>
              <w:rPr/>
            </w:pPr>
            <w:r>
              <w:rPr/>
              <w:t>​</w:t>
            </w:r>
          </w:p>
        </w:tc>
        <w:tc>
          <w:tcPr>
            <w:tcW w:w="34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(4,317)</w:t>
            </w:r>
          </w:p>
        </w:tc>
        <w:tc>
          <w:tcPr>
            <w:tcW w:w="346" w:type="dxa"/>
            <w:tcBorders/>
            <w:vAlign w:val="center"/>
          </w:tcPr>
          <w:p>
            <w:pPr>
              <w:pStyle w:val="TableContents"/>
              <w:bidi w:val="0"/>
              <w:spacing w:before="0" w:after="1"/>
              <w:ind w:left="0" w:right="0" w:hanging="0"/>
              <w:jc w:val="right"/>
              <w:rPr/>
            </w:pPr>
            <w:r>
              <w:rPr/>
              <w:t> </w:t>
            </w:r>
          </w:p>
        </w:tc>
        <w:tc>
          <w:tcPr>
            <w:tcW w:w="42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6,491</w:t>
            </w:r>
          </w:p>
        </w:tc>
      </w:tr>
    </w:tbl>
    <w:p>
      <w:pPr>
        <w:pStyle w:val="TextBody"/>
        <w:bidi w:val="0"/>
        <w:spacing w:before="0" w:after="240"/>
        <w:ind w:left="36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The Company recorded net product sales of $32,272 in the first two quarters of 2026 compared to $18,403 in  the comparable period in 2025 as the Company increased market penetration and access for PEDMARK</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and as the Company expanded its focus to the adolescent and young adult (AYA) population. For the six months ended June 30, 2026 the Company recorded $710 in other revenue related to the Norgine transaction compared to $0 in the comparable period.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 of product sales decreased by $49 for the first two quarters of 2026 compared to the comparable period in 2025. The improvement was primarily driven by greater efficiencies in manufacturing and inventory management.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decreased by $34 for the six-month period ended June 30, 2026, as compared to the same period in 2025. Our research and development activities for this period consisted of costs associated with investigator initiated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recorded $22,081 in selling and marketing expenses for the six-month period ended June 30, 2026, as compared to $8,011 for the same product in 2025. The increase is largely related to the higher commercial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headcount to support the </w:t>
            </w:r>
            <w:r>
              <w:rPr>
                <w:rFonts w:ascii="Times New Roman;Times;serif" w:hAnsi="Times New Roman;Times;serif"/>
                <w:b w:val="false"/>
                <w:i w:val="false"/>
                <w:caps w:val="false"/>
                <w:smallCaps w:val="false"/>
                <w:color w:val="27251E"/>
                <w:sz w:val="20"/>
              </w:rPr>
              <w:t>expansion of our sales organization to enhance coverage of the U.S. market as well as increased marketing and awareness activities in 2026</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There was a $4,566 decrease in general and administrative expenses for the six-month period ended June 30, 2026 compared to the same period in 2025. The decrease was primarily due to </w:t>
            </w:r>
            <w:r>
              <w:rPr>
                <w:rFonts w:ascii="Times New Roman;Times;serif" w:hAnsi="Times New Roman;Times;serif"/>
                <w:b w:val="false"/>
                <w:i w:val="false"/>
                <w:caps w:val="false"/>
                <w:smallCaps w:val="false"/>
                <w:color w:val="27251E"/>
                <w:sz w:val="20"/>
              </w:rPr>
              <w:t>lower legal and professional fees as patent litigation activities with CIPLA concluded and the reallocation of certain employee-related and equity-based compensation costs to selling and marketing expenses beginning in the first quarter of 2026 from general and administrative expenses</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decreased by $1,176 for the six-month period ended June 30, 2026 compared to the same period in 2025. The decrease was primarily due to full repayment of the Petrichor convertible notes in the fourth quarter of 2025, which eliminated related interest and accretion in 2026.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increased in the six-month period ended June 30, 2026, as compared to the same period in 2025 by $219, driven by higher average cash balances on money market investments.</w:t>
            </w:r>
          </w:p>
        </w:tc>
      </w:tr>
    </w:tbl>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pPr>
      <w:r>
        <w:rPr/>
        <w:t>​</w:t>
      </w:r>
    </w:p>
    <w:tbl>
      <w:tblPr>
        <w:tblW w:w="7160" w:type="dxa"/>
        <w:jc w:val="left"/>
        <w:tblInd w:w="0" w:type="dxa"/>
        <w:tblLayout w:type="fixed"/>
        <w:tblCellMar>
          <w:top w:w="0" w:type="dxa"/>
          <w:left w:w="0" w:type="dxa"/>
          <w:bottom w:w="0" w:type="dxa"/>
          <w:right w:w="0" w:type="dxa"/>
        </w:tblCellMar>
      </w:tblPr>
      <w:tblGrid>
        <w:gridCol w:w="3796"/>
        <w:gridCol w:w="346"/>
        <w:gridCol w:w="225"/>
        <w:gridCol w:w="901"/>
        <w:gridCol w:w="346"/>
        <w:gridCol w:w="297"/>
        <w:gridCol w:w="1249"/>
      </w:tblGrid>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4"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42875" cy="175260"/>
                      <wp:effectExtent l="0" t="0" r="0" b="0"/>
                      <wp:wrapNone/>
                      <wp:docPr id="185" name="Frame185"/>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572135" cy="175260"/>
                      <wp:effectExtent l="0" t="0" r="0" b="0"/>
                      <wp:wrapNone/>
                      <wp:docPr id="186" name="Frame18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7"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88595" cy="175260"/>
                      <wp:effectExtent l="0" t="0" r="0" b="0"/>
                      <wp:wrapNone/>
                      <wp:docPr id="188" name="Frame188"/>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793115" cy="175260"/>
                      <wp:effectExtent l="0" t="0" r="0" b="0"/>
                      <wp:wrapNone/>
                      <wp:docPr id="189" name="Frame189"/>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0"/>
              <w:ind w:left="0" w:right="0" w:hanging="0"/>
              <w:jc w:val="center"/>
              <w:rPr/>
            </w:pPr>
            <w:r>
              <w:rPr/>
              <w:t>​</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7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Selected Asset and Liability Data (thousands):</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41,249</w:t>
            </w:r>
          </w:p>
        </w:tc>
        <w:tc>
          <w:tcPr>
            <w:tcW w:w="346" w:type="dxa"/>
            <w:tcBorders/>
            <w:shd w:fill="CCEEFF" w:val="clear"/>
            <w:vAlign w:val="center"/>
          </w:tcPr>
          <w:p>
            <w:pPr>
              <w:pStyle w:val="TableContents"/>
              <w:bidi w:val="0"/>
              <w:spacing w:before="0" w:after="0"/>
              <w:ind w:left="0" w:right="0" w:hanging="0"/>
              <w:jc w:val="right"/>
              <w:rPr/>
            </w:pPr>
            <w:r>
              <w:rPr/>
              <w:t>​</w:t>
            </w:r>
          </w:p>
        </w:tc>
        <w:tc>
          <w:tcPr>
            <w:tcW w:w="2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36,788</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righ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31,251</w:t>
            </w:r>
          </w:p>
        </w:tc>
        <w:tc>
          <w:tcPr>
            <w:tcW w:w="346" w:type="dxa"/>
            <w:tcBorders/>
            <w:vAlign w:val="center"/>
          </w:tcPr>
          <w:p>
            <w:pPr>
              <w:pStyle w:val="TableContents"/>
              <w:bidi w:val="0"/>
              <w:spacing w:before="0" w:after="0"/>
              <w:ind w:left="0" w:right="0" w:hanging="0"/>
              <w:jc w:val="right"/>
              <w:rPr/>
            </w:pPr>
            <w:r>
              <w:rPr/>
              <w:t>​</w:t>
            </w:r>
          </w:p>
        </w:tc>
        <w:tc>
          <w:tcPr>
            <w:tcW w:w="297" w:type="dxa"/>
            <w:tcBorders/>
            <w:vAlign w:val="center"/>
          </w:tcPr>
          <w:p>
            <w:pPr>
              <w:pStyle w:val="TableContents"/>
              <w:bidi w:val="0"/>
              <w:spacing w:before="0" w:after="0"/>
              <w:ind w:left="0" w:right="0" w:hanging="0"/>
              <w:jc w:val="righ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30,255</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righ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12,394</w:t>
            </w:r>
          </w:p>
        </w:tc>
        <w:tc>
          <w:tcPr>
            <w:tcW w:w="346" w:type="dxa"/>
            <w:tcBorders/>
            <w:shd w:fill="CCEEFF" w:val="clear"/>
            <w:vAlign w:val="center"/>
          </w:tcPr>
          <w:p>
            <w:pPr>
              <w:pStyle w:val="TableContents"/>
              <w:bidi w:val="0"/>
              <w:spacing w:before="0" w:after="0"/>
              <w:ind w:left="0" w:right="0" w:hanging="0"/>
              <w:jc w:val="right"/>
              <w:rPr/>
            </w:pPr>
            <w:r>
              <w:rPr/>
              <w:t>​</w:t>
            </w:r>
          </w:p>
        </w:tc>
        <w:tc>
          <w:tcPr>
            <w:tcW w:w="297" w:type="dxa"/>
            <w:tcBorders/>
            <w:shd w:fill="CCEEFF" w:val="clear"/>
            <w:vAlign w:val="center"/>
          </w:tcPr>
          <w:p>
            <w:pPr>
              <w:pStyle w:val="TableContents"/>
              <w:bidi w:val="0"/>
              <w:spacing w:before="0" w:after="0"/>
              <w:ind w:left="0" w:right="0" w:hanging="0"/>
              <w:jc w:val="righ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10,518</w:t>
            </w:r>
          </w:p>
        </w:tc>
      </w:tr>
      <w:tr>
        <w:trPr/>
        <w:tc>
          <w:tcPr>
            <w:tcW w:w="379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Working capital </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righ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60,106</w:t>
            </w:r>
          </w:p>
        </w:tc>
        <w:tc>
          <w:tcPr>
            <w:tcW w:w="346" w:type="dxa"/>
            <w:tcBorders/>
            <w:vAlign w:val="center"/>
          </w:tcPr>
          <w:p>
            <w:pPr>
              <w:pStyle w:val="TableContents"/>
              <w:bidi w:val="0"/>
              <w:spacing w:before="0" w:after="0"/>
              <w:ind w:left="0" w:right="0" w:hanging="0"/>
              <w:jc w:val="right"/>
              <w:rPr/>
            </w:pPr>
            <w:r>
              <w:rPr/>
              <w:t>​</w:t>
            </w:r>
          </w:p>
        </w:tc>
        <w:tc>
          <w:tcPr>
            <w:tcW w:w="297" w:type="dxa"/>
            <w:tcBorders/>
            <w:vAlign w:val="center"/>
          </w:tcPr>
          <w:p>
            <w:pPr>
              <w:pStyle w:val="TableContents"/>
              <w:bidi w:val="0"/>
              <w:spacing w:before="0" w:after="0"/>
              <w:ind w:left="0" w:right="0" w:hanging="0"/>
              <w:jc w:val="righ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56,525</w:t>
            </w:r>
          </w:p>
        </w:tc>
      </w:tr>
      <w:tr>
        <w:trPr/>
        <w:tc>
          <w:tcPr>
            <w:tcW w:w="37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[Current assets –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97" w:type="dxa"/>
            <w:tcBorders/>
            <w:shd w:fill="CCEEFF" w:val="clear"/>
            <w:vAlign w:val="center"/>
          </w:tcPr>
          <w:p>
            <w:pPr>
              <w:pStyle w:val="TableContents"/>
              <w:bidi w:val="0"/>
              <w:spacing w:before="0" w:after="0"/>
              <w:ind w:left="0" w:right="0" w:hanging="0"/>
              <w:jc w:val="right"/>
              <w:rPr/>
            </w:pPr>
            <w:r>
              <w:rPr/>
              <w:t>​</w:t>
            </w:r>
          </w:p>
        </w:tc>
        <w:tc>
          <w:tcPr>
            <w:tcW w:w="1249" w:type="dxa"/>
            <w:tcBorders/>
            <w:shd w:fill="CCEEFF" w:val="clear"/>
            <w:vAlign w:val="center"/>
          </w:tcPr>
          <w:p>
            <w:pPr>
              <w:pStyle w:val="TableContents"/>
              <w:bidi w:val="0"/>
              <w:spacing w:before="0" w:after="0"/>
              <w:ind w:left="0" w:right="0" w:hanging="0"/>
              <w:jc w:val="right"/>
              <w:rPr/>
            </w:pPr>
            <w:r>
              <w:rPr/>
              <w:t>​</w:t>
            </w:r>
          </w:p>
        </w:tc>
      </w:tr>
      <w:tr>
        <w:trPr/>
        <w:tc>
          <w:tcPr>
            <w:tcW w:w="3796" w:type="dxa"/>
            <w:tcBorders/>
            <w:vAlign w:val="center"/>
          </w:tcPr>
          <w:p>
            <w:pPr>
              <w:pStyle w:val="TableContents"/>
              <w:bidi w:val="0"/>
              <w:spacing w:before="0" w:after="0"/>
              <w:ind w:left="0" w:right="0" w:hanging="0"/>
              <w:jc w:val="left"/>
              <w:rPr>
                <w:color w:val="008080"/>
              </w:rPr>
            </w:pPr>
            <w:r>
              <w:rPr>
                <w:color w:val="008080"/>
              </w:rPr>
              <w:t>​</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97" w:type="dxa"/>
            <w:tcBorders/>
            <w:vAlign w:val="center"/>
          </w:tcPr>
          <w:p>
            <w:pPr>
              <w:pStyle w:val="TableContents"/>
              <w:bidi w:val="0"/>
              <w:spacing w:before="0" w:after="0"/>
              <w:ind w:left="0" w:right="0" w:hanging="0"/>
              <w:jc w:val="right"/>
              <w:rPr/>
            </w:pPr>
            <w:r>
              <w:rPr/>
              <w:t>​</w:t>
            </w:r>
          </w:p>
        </w:tc>
        <w:tc>
          <w:tcPr>
            <w:tcW w:w="1249" w:type="dxa"/>
            <w:tcBorders/>
            <w:vAlign w:val="center"/>
          </w:tcPr>
          <w:p>
            <w:pPr>
              <w:pStyle w:val="TableContents"/>
              <w:bidi w:val="0"/>
              <w:spacing w:before="0" w:after="0"/>
              <w:ind w:left="0" w:right="0" w:hanging="0"/>
              <w:jc w:val="righ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Selected Equity:</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righ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97" w:type="dxa"/>
            <w:tcBorders/>
            <w:shd w:fill="CCEEFF" w:val="clear"/>
            <w:vAlign w:val="center"/>
          </w:tcPr>
          <w:p>
            <w:pPr>
              <w:pStyle w:val="TableContents"/>
              <w:bidi w:val="0"/>
              <w:spacing w:before="0" w:after="0"/>
              <w:ind w:left="0" w:right="0" w:hanging="0"/>
              <w:jc w:val="right"/>
              <w:rPr/>
            </w:pPr>
            <w:r>
              <w:rPr/>
              <w:t> </w:t>
            </w:r>
          </w:p>
        </w:tc>
        <w:tc>
          <w:tcPr>
            <w:tcW w:w="1249" w:type="dxa"/>
            <w:tcBorders/>
            <w:shd w:fill="CCEEFF" w:val="clear"/>
            <w:vAlign w:val="center"/>
          </w:tcPr>
          <w:p>
            <w:pPr>
              <w:pStyle w:val="TableContents"/>
              <w:bidi w:val="0"/>
              <w:spacing w:before="0" w:after="0"/>
              <w:ind w:left="0" w:right="0" w:hanging="0"/>
              <w:jc w:val="righ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and additional paid in capital</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268,447</w:t>
            </w:r>
          </w:p>
        </w:tc>
        <w:tc>
          <w:tcPr>
            <w:tcW w:w="346" w:type="dxa"/>
            <w:tcBorders/>
            <w:vAlign w:val="center"/>
          </w:tcPr>
          <w:p>
            <w:pPr>
              <w:pStyle w:val="TableContents"/>
              <w:bidi w:val="0"/>
              <w:spacing w:before="0" w:after="0"/>
              <w:ind w:left="0" w:right="0" w:hanging="0"/>
              <w:jc w:val="right"/>
              <w:rPr/>
            </w:pPr>
            <w:r>
              <w:rPr/>
              <w:t>​</w:t>
            </w:r>
          </w:p>
        </w:tc>
        <w:tc>
          <w:tcPr>
            <w:tcW w:w="297" w:type="dxa"/>
            <w:tcBorders/>
            <w:vAlign w:val="center"/>
          </w:tcPr>
          <w:p>
            <w:pPr>
              <w:pStyle w:val="TableContents"/>
              <w:bidi w:val="0"/>
              <w:spacing w:before="0" w:after="0"/>
              <w:ind w:left="0" w:right="0" w:hanging="0"/>
              <w:jc w:val="right"/>
              <w:rPr/>
            </w:pPr>
            <w:r>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263,651</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righ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(227,248)</w:t>
            </w:r>
          </w:p>
        </w:tc>
        <w:tc>
          <w:tcPr>
            <w:tcW w:w="346" w:type="dxa"/>
            <w:tcBorders/>
            <w:shd w:fill="CCEEFF" w:val="clear"/>
            <w:vAlign w:val="center"/>
          </w:tcPr>
          <w:p>
            <w:pPr>
              <w:pStyle w:val="TableContents"/>
              <w:bidi w:val="0"/>
              <w:spacing w:before="0" w:after="0"/>
              <w:ind w:left="0" w:right="0" w:hanging="0"/>
              <w:jc w:val="right"/>
              <w:rPr/>
            </w:pPr>
            <w:r>
              <w:rPr/>
              <w:t>​</w:t>
            </w:r>
          </w:p>
        </w:tc>
        <w:tc>
          <w:tcPr>
            <w:tcW w:w="297" w:type="dxa"/>
            <w:tcBorders/>
            <w:shd w:fill="CCEEFF" w:val="clear"/>
            <w:vAlign w:val="center"/>
          </w:tcPr>
          <w:p>
            <w:pPr>
              <w:pStyle w:val="TableContents"/>
              <w:bidi w:val="0"/>
              <w:spacing w:before="0" w:after="0"/>
              <w:ind w:left="0" w:right="0" w:hanging="0"/>
              <w:jc w:val="righ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(229,422)</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righ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42,442</w:t>
            </w:r>
          </w:p>
        </w:tc>
        <w:tc>
          <w:tcPr>
            <w:tcW w:w="346" w:type="dxa"/>
            <w:tcBorders/>
            <w:vAlign w:val="center"/>
          </w:tcPr>
          <w:p>
            <w:pPr>
              <w:pStyle w:val="TableContents"/>
              <w:bidi w:val="0"/>
              <w:spacing w:before="0" w:after="0"/>
              <w:ind w:left="0" w:right="0" w:hanging="0"/>
              <w:jc w:val="right"/>
              <w:rPr/>
            </w:pPr>
            <w:r>
              <w:rPr/>
              <w:t>​</w:t>
            </w:r>
          </w:p>
        </w:tc>
        <w:tc>
          <w:tcPr>
            <w:tcW w:w="297" w:type="dxa"/>
            <w:tcBorders/>
            <w:vAlign w:val="center"/>
          </w:tcPr>
          <w:p>
            <w:pPr>
              <w:pStyle w:val="TableContents"/>
              <w:bidi w:val="0"/>
              <w:spacing w:before="0" w:after="0"/>
              <w:ind w:left="0" w:right="0" w:hanging="0"/>
              <w:jc w:val="right"/>
              <w:rPr/>
            </w:pPr>
            <w:r>
              <w:rPr/>
              <w:t> </w:t>
            </w:r>
          </w:p>
        </w:tc>
        <w:tc>
          <w:tcPr>
            <w:tcW w:w="1249"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35,472</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a $4,461 net increase in cash and cash equivalents between June 30, 2026, and December 31, 2025. The increase was primarily driven by net cash provided by operating activities reflecting profitable operations and favorable working capital movements, option exercises, and including the timing of accounts receivable collections.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other current assets of $996 between June 30, 2026, and December 31, 2025, primarily relates to an increase in inventory.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 at June 30, 2026, increased $1,876 compared to December 31, 2025 reflecting an increase in current portion of contract liability offset by a decrease in accrued expenses.</w:t>
            </w:r>
          </w:p>
        </w:tc>
      </w:tr>
    </w:tbl>
    <w:tbl>
      <w:tblPr>
        <w:tblW w:w="9966" w:type="dxa"/>
        <w:jc w:val="left"/>
        <w:tblInd w:w="0" w:type="dxa"/>
        <w:tblLayout w:type="fixed"/>
        <w:tblCellMar>
          <w:top w:w="28" w:type="dxa"/>
          <w:left w:w="28" w:type="dxa"/>
          <w:bottom w:w="28" w:type="dxa"/>
          <w:right w:w="28" w:type="dxa"/>
        </w:tblCellMar>
      </w:tblPr>
      <w:tblGrid>
        <w:gridCol w:w="124"/>
        <w:gridCol w:w="256"/>
        <w:gridCol w:w="9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increased by $3,581 between June 30, 2026, and December 31, 2025 driven by higher cash balance.</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illustrates a summary of cash flows data for the six-month periods of June 30, 2026 and 2025:</w:t>
      </w:r>
    </w:p>
    <w:p>
      <w:pPr>
        <w:pStyle w:val="TextBody"/>
        <w:bidi w:val="0"/>
        <w:spacing w:before="0" w:after="0"/>
        <w:ind w:left="0" w:right="0" w:hanging="0"/>
        <w:jc w:val="both"/>
        <w:rPr/>
      </w:pPr>
      <w:r>
        <w:rPr/>
        <w:t>​</w:t>
      </w:r>
    </w:p>
    <w:tbl>
      <w:tblPr>
        <w:tblW w:w="6500" w:type="dxa"/>
        <w:jc w:val="left"/>
        <w:tblInd w:w="0" w:type="dxa"/>
        <w:tblLayout w:type="fixed"/>
        <w:tblCellMar>
          <w:top w:w="0" w:type="dxa"/>
          <w:left w:w="0" w:type="dxa"/>
          <w:bottom w:w="0" w:type="dxa"/>
          <w:right w:w="0" w:type="dxa"/>
        </w:tblCellMar>
      </w:tblPr>
      <w:tblGrid>
        <w:gridCol w:w="4231"/>
        <w:gridCol w:w="109"/>
        <w:gridCol w:w="248"/>
        <w:gridCol w:w="671"/>
        <w:gridCol w:w="128"/>
        <w:gridCol w:w="248"/>
        <w:gridCol w:w="865"/>
      </w:tblGrid>
      <w:tr>
        <w:trPr/>
        <w:tc>
          <w:tcPr>
            <w:tcW w:w="4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686685" cy="175260"/>
                      <wp:effectExtent l="0" t="0" r="0" b="0"/>
                      <wp:wrapNone/>
                      <wp:docPr id="190" name="Frame190"/>
                      <a:graphic xmlns:a="http://schemas.openxmlformats.org/drawingml/2006/main">
                        <a:graphicData uri="http://schemas.microsoft.com/office/word/2010/wordprocessingShape">
                          <wps:wsp>
                            <wps:cNvSpPr txBox="1"/>
                            <wps:spPr>
                              <a:xfrm>
                                <a:off x="0" y="0"/>
                                <a:ext cx="268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9215" cy="175260"/>
                      <wp:effectExtent l="0" t="0" r="0" b="0"/>
                      <wp:wrapNone/>
                      <wp:docPr id="191" name="Frame1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57480" cy="175260"/>
                      <wp:effectExtent l="0" t="0" r="0" b="0"/>
                      <wp:wrapNone/>
                      <wp:docPr id="192" name="Frame192"/>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26085" cy="175260"/>
                      <wp:effectExtent l="0" t="0" r="0" b="0"/>
                      <wp:wrapNone/>
                      <wp:docPr id="193" name="Frame193"/>
                      <a:graphic xmlns:a="http://schemas.openxmlformats.org/drawingml/2006/main">
                        <a:graphicData uri="http://schemas.microsoft.com/office/word/2010/wordprocessingShape">
                          <wps:wsp>
                            <wps:cNvSpPr txBox="1"/>
                            <wps:spPr>
                              <a:xfrm>
                                <a:off x="0" y="0"/>
                                <a:ext cx="42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81280" cy="175260"/>
                      <wp:effectExtent l="0" t="0" r="0" b="0"/>
                      <wp:wrapNone/>
                      <wp:docPr id="194" name="Frame194"/>
                      <a:graphic xmlns:a="http://schemas.openxmlformats.org/drawingml/2006/main">
                        <a:graphicData uri="http://schemas.microsoft.com/office/word/2010/wordprocessingShape">
                          <wps:wsp>
                            <wps:cNvSpPr txBox="1"/>
                            <wps:spPr>
                              <a:xfrm>
                                <a:off x="0" y="0"/>
                                <a:ext cx="81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57480" cy="175260"/>
                      <wp:effectExtent l="0" t="0" r="0" b="0"/>
                      <wp:wrapNone/>
                      <wp:docPr id="195" name="Frame195"/>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49275" cy="175260"/>
                      <wp:effectExtent l="0" t="0" r="0" b="0"/>
                      <wp:wrapNone/>
                      <wp:docPr id="196" name="Frame196"/>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Selected Cash Flow Data</w:t>
            </w:r>
          </w:p>
        </w:tc>
        <w:tc>
          <w:tcPr>
            <w:tcW w:w="109" w:type="dxa"/>
            <w:tcBorders/>
            <w:vAlign w:val="center"/>
          </w:tcPr>
          <w:p>
            <w:pPr>
              <w:pStyle w:val="TableContents"/>
              <w:bidi w:val="0"/>
              <w:spacing w:before="0" w:after="0"/>
              <w:ind w:left="0" w:right="0" w:hanging="0"/>
              <w:jc w:val="left"/>
              <w:rPr/>
            </w:pPr>
            <w:r>
              <w:rPr/>
              <w:t>​</w:t>
            </w:r>
          </w:p>
        </w:tc>
        <w:tc>
          <w:tcPr>
            <w:tcW w:w="21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and shares in thousands)</w:t>
            </w:r>
          </w:p>
        </w:tc>
        <w:tc>
          <w:tcPr>
            <w:tcW w:w="109" w:type="dxa"/>
            <w:tcBorders/>
            <w:vAlign w:val="center"/>
          </w:tcPr>
          <w:p>
            <w:pPr>
              <w:pStyle w:val="TableContents"/>
              <w:bidi w:val="0"/>
              <w:spacing w:before="0" w:after="0"/>
              <w:ind w:left="0" w:right="0" w:hanging="0"/>
              <w:jc w:val="left"/>
              <w:rPr/>
            </w:pPr>
            <w:r>
              <w:rPr/>
              <w:t>​</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28" w:type="dxa"/>
            <w:tcBorders/>
            <w:vAlign w:val="center"/>
          </w:tcPr>
          <w:p>
            <w:pPr>
              <w:pStyle w:val="TableContents"/>
              <w:bidi w:val="0"/>
              <w:spacing w:before="0" w:after="0"/>
              <w:ind w:left="0" w:right="0" w:hanging="0"/>
              <w:jc w:val="left"/>
              <w:rPr/>
            </w:pPr>
            <w:r>
              <w:rPr/>
              <w:t>​</w:t>
            </w:r>
          </w:p>
        </w:tc>
        <w:tc>
          <w:tcPr>
            <w:tcW w:w="11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by/(used in)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2,429</w:t>
            </w:r>
          </w:p>
        </w:tc>
        <w:tc>
          <w:tcPr>
            <w:tcW w:w="128" w:type="dxa"/>
            <w:tcBorders/>
            <w:shd w:fill="CCEEFF" w:val="clear"/>
            <w:vAlign w:val="center"/>
          </w:tcPr>
          <w:p>
            <w:pPr>
              <w:pStyle w:val="TableContents"/>
              <w:bidi w:val="0"/>
              <w:spacing w:before="0" w:after="0"/>
              <w:ind w:left="0" w:right="0" w:hanging="0"/>
              <w:jc w:val="right"/>
              <w:rPr/>
            </w:pPr>
            <w:r>
              <w:rPr/>
              <w:t>​</w:t>
            </w:r>
          </w:p>
        </w:tc>
        <w:tc>
          <w:tcPr>
            <w:tcW w:w="2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(8,004)</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109"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w:t>
            </w:r>
          </w:p>
        </w:tc>
        <w:tc>
          <w:tcPr>
            <w:tcW w:w="128" w:type="dxa"/>
            <w:tcBorders/>
            <w:vAlign w:val="center"/>
          </w:tcPr>
          <w:p>
            <w:pPr>
              <w:pStyle w:val="TableContents"/>
              <w:bidi w:val="0"/>
              <w:spacing w:before="0" w:after="0"/>
              <w:ind w:left="0" w:right="0" w:hanging="0"/>
              <w:jc w:val="righ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flow</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4,461</w:t>
            </w:r>
          </w:p>
        </w:tc>
        <w:tc>
          <w:tcPr>
            <w:tcW w:w="128" w:type="dxa"/>
            <w:tcBorders/>
            <w:shd w:fill="CCEEFF" w:val="clear"/>
            <w:vAlign w:val="center"/>
          </w:tcPr>
          <w:p>
            <w:pPr>
              <w:pStyle w:val="TableContents"/>
              <w:bidi w:val="0"/>
              <w:spacing w:before="0" w:after="0"/>
              <w:ind w:left="0" w:right="0" w:hanging="0"/>
              <w:jc w:val="righ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(7,929)</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net cash provided operating activities for the six-month period ended June 30, 2026 was approximately $2,429 as compared to $8,004 net cash used in operating activities during the same period in 2025. The year-over-year improvement was primarily driven by the shift from a net loss of $4,317 to net income of $2,174 and a favorable swing in working capital, including a significant decrease in accounts receivable in 2026. Net cash provided by financing activities was $2,032 in 2026 versus $75 in 2025, driven by increased cashflow from operations and proceeds from stock option exercises.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continue to pursue various strategic alternatives including collaborations with other pharmaceutical and biotechnology companies. Our projections of further capital requirements are subject to substantial uncertainty. Our working capital requirements may fluctuate in future periods depending upon numerous factors, including: our ability to obtain additional financial resources; our ability to enter into collaborations that provide us with up-front payments, milestones or other payments; progress or lack of progress in our preclinical studies or clinical trials; unfavorable toxicology in our clinical programs; our drug substance requirements to support clinical programs; change in the focus, direction, or costs of our research and development programs; headcount expense; the costs involved in preparing, filing, prosecuting, maintaining, defending and enforcing our patent claims; competitive and technological advances; the potential need to develop, acquire or license new technologies and products; our business development activities; new regulatory requirements implemented by regulatory authorities; the timing and outcome of any regulatory review process; and commercialization activities, if any.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Outstanding Share Information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outstanding share data as of June 30, 2026 and December 31, 2025 was as follows (in thousands):</w:t>
      </w:r>
    </w:p>
    <w:p>
      <w:pPr>
        <w:pStyle w:val="TextBody"/>
        <w:bidi w:val="0"/>
        <w:spacing w:before="0" w:after="0"/>
        <w:ind w:left="0" w:right="0" w:hanging="0"/>
        <w:jc w:val="both"/>
        <w:rPr/>
      </w:pPr>
      <w:r>
        <w:rPr/>
        <w:t>​</w:t>
      </w:r>
    </w:p>
    <w:tbl>
      <w:tblPr>
        <w:tblW w:w="5542" w:type="dxa"/>
        <w:jc w:val="left"/>
        <w:tblInd w:w="0" w:type="dxa"/>
        <w:tblLayout w:type="fixed"/>
        <w:tblCellMar>
          <w:top w:w="0" w:type="dxa"/>
          <w:left w:w="0" w:type="dxa"/>
          <w:bottom w:w="0" w:type="dxa"/>
          <w:right w:w="0" w:type="dxa"/>
        </w:tblCellMar>
      </w:tblPr>
      <w:tblGrid>
        <w:gridCol w:w="1891"/>
        <w:gridCol w:w="346"/>
        <w:gridCol w:w="766"/>
        <w:gridCol w:w="346"/>
        <w:gridCol w:w="1141"/>
        <w:gridCol w:w="346"/>
        <w:gridCol w:w="706"/>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200785" cy="175260"/>
                      <wp:effectExtent l="0" t="0" r="0" b="0"/>
                      <wp:wrapNone/>
                      <wp:docPr id="197" name="Frame197"/>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8"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486410" cy="175260"/>
                      <wp:effectExtent l="0" t="0" r="0" b="0"/>
                      <wp:wrapNone/>
                      <wp:docPr id="199" name="Frame199"/>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200"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724535" cy="175260"/>
                      <wp:effectExtent l="0" t="0" r="0" b="0"/>
                      <wp:wrapNone/>
                      <wp:docPr id="201" name="Frame20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2"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48310" cy="175260"/>
                      <wp:effectExtent l="0" t="0" r="0" b="0"/>
                      <wp:wrapNone/>
                      <wp:docPr id="203" name="Frame203"/>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  ​ ​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 </w:t>
            </w:r>
          </w:p>
        </w:tc>
        <w:tc>
          <w:tcPr>
            <w:tcW w:w="706" w:type="dxa"/>
            <w:tcBorders/>
            <w:vAlign w:val="center"/>
          </w:tcPr>
          <w:p>
            <w:pPr>
              <w:pStyle w:val="TableContents"/>
              <w:bidi w:val="0"/>
              <w:spacing w:before="0" w:after="0"/>
              <w:ind w:left="0" w:right="0" w:hanging="0"/>
              <w:jc w:val="center"/>
              <w:rPr/>
            </w:pPr>
            <w:r>
              <w:rPr/>
              <w:t>​</w:t>
            </w:r>
          </w:p>
        </w:tc>
      </w:tr>
      <w:tr>
        <w:trPr/>
        <w:tc>
          <w:tcPr>
            <w:tcW w:w="18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Outstanding Share Type</w:t>
            </w:r>
          </w:p>
        </w:tc>
        <w:tc>
          <w:tcPr>
            <w:tcW w:w="346" w:type="dxa"/>
            <w:tcBorders/>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shares</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35,034</w:t>
            </w:r>
          </w:p>
        </w:tc>
        <w:tc>
          <w:tcPr>
            <w:tcW w:w="346" w:type="dxa"/>
            <w:tcBorders/>
            <w:shd w:fill="CCEEFF" w:val="clear"/>
            <w:vAlign w:val="center"/>
          </w:tcPr>
          <w:p>
            <w:pPr>
              <w:pStyle w:val="TableContents"/>
              <w:bidi w:val="0"/>
              <w:spacing w:before="0" w:after="0"/>
              <w:ind w:left="0" w:right="0" w:hanging="0"/>
              <w:jc w:val="righ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34,163</w:t>
            </w:r>
          </w:p>
        </w:tc>
        <w:tc>
          <w:tcPr>
            <w:tcW w:w="346" w:type="dxa"/>
            <w:tcBorders/>
            <w:shd w:fill="CCEEFF" w:val="clear"/>
            <w:vAlign w:val="center"/>
          </w:tcPr>
          <w:p>
            <w:pPr>
              <w:pStyle w:val="TableContents"/>
              <w:bidi w:val="0"/>
              <w:spacing w:before="0" w:after="0"/>
              <w:ind w:left="0" w:right="0" w:hanging="0"/>
              <w:jc w:val="righ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Warrants </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vAlign w:val="center"/>
          </w:tcPr>
          <w:p>
            <w:pPr>
              <w:pStyle w:val="TableContents"/>
              <w:bidi w:val="0"/>
              <w:spacing w:before="0" w:after="0"/>
              <w:ind w:left="0" w:right="0" w:hanging="0"/>
              <w:jc w:val="righ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 and PSU Awards</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46" w:type="dxa"/>
            <w:tcBorders/>
            <w:shd w:fill="CCEEFF" w:val="clear"/>
            <w:vAlign w:val="center"/>
          </w:tcPr>
          <w:p>
            <w:pPr>
              <w:pStyle w:val="TableContents"/>
              <w:bidi w:val="0"/>
              <w:spacing w:before="0" w:after="0"/>
              <w:ind w:left="0" w:right="0" w:hanging="0"/>
              <w:jc w:val="righ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w:t>
            </w:r>
          </w:p>
        </w:tc>
        <w:tc>
          <w:tcPr>
            <w:tcW w:w="346"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46" w:type="dxa"/>
            <w:tcBorders/>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7,039</w:t>
            </w:r>
          </w:p>
        </w:tc>
        <w:tc>
          <w:tcPr>
            <w:tcW w:w="346" w:type="dxa"/>
            <w:tcBorders/>
            <w:vAlign w:val="center"/>
          </w:tcPr>
          <w:p>
            <w:pPr>
              <w:pStyle w:val="TableContents"/>
              <w:bidi w:val="0"/>
              <w:spacing w:before="0" w:after="0"/>
              <w:ind w:left="0" w:right="0" w:hanging="0"/>
              <w:jc w:val="righ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5,853</w:t>
            </w:r>
          </w:p>
        </w:tc>
        <w:tc>
          <w:tcPr>
            <w:tcW w:w="346" w:type="dxa"/>
            <w:tcBorders/>
            <w:vAlign w:val="center"/>
          </w:tcPr>
          <w:p>
            <w:pPr>
              <w:pStyle w:val="TableContents"/>
              <w:bidi w:val="0"/>
              <w:spacing w:before="0" w:after="0"/>
              <w:ind w:left="0" w:right="0" w:hanging="0"/>
              <w:jc w:val="righ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42,401</w:t>
            </w:r>
          </w:p>
        </w:tc>
        <w:tc>
          <w:tcPr>
            <w:tcW w:w="346" w:type="dxa"/>
            <w:tcBorders/>
            <w:shd w:fill="CCEEFF" w:val="clear"/>
            <w:vAlign w:val="center"/>
          </w:tcPr>
          <w:p>
            <w:pPr>
              <w:pStyle w:val="TableContents"/>
              <w:bidi w:val="0"/>
              <w:spacing w:before="0" w:after="0"/>
              <w:ind w:left="0" w:right="0" w:hanging="0"/>
              <w:jc w:val="righ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40,828</w:t>
            </w:r>
          </w:p>
        </w:tc>
        <w:tc>
          <w:tcPr>
            <w:tcW w:w="346" w:type="dxa"/>
            <w:tcBorders/>
            <w:shd w:fill="CCEEFF" w:val="clear"/>
            <w:vAlign w:val="center"/>
          </w:tcPr>
          <w:p>
            <w:pPr>
              <w:pStyle w:val="TableContents"/>
              <w:bidi w:val="0"/>
              <w:spacing w:before="0" w:after="0"/>
              <w:ind w:left="0" w:right="0" w:hanging="0"/>
              <w:jc w:val="right"/>
              <w:rPr/>
            </w:pPr>
            <w:r>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1,573</w:t>
            </w:r>
          </w:p>
        </w:tc>
      </w:tr>
      <w:tr>
        <w:trPr/>
        <w:tc>
          <w:tcPr>
            <w:tcW w:w="1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invest excess cash and cash equivalents in high credit quality investments held by financial institutions in accordance with our investment policy designed to protect the principal investment. At June 30, 2026, we had approximately $2,544 in our cash accounts and $38,705 in savings and money market accounts. While we have never experienced any loss or write down of our money market investments since our inception, the amounts we hold in money market accounts are substantially above the $250 amount insured by the FDIC and may lose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investment policy is to manage investments to achieve, in the order of importance, the financial objectives of preservation of principal, liquidity and return on investment. Investments may be made in U.S. or Canadian obligations and bank securities, commercial paper of U.S. or Canadian industrial companies, utilities, financial institutions and consumer loan companies, and securities of foreign banks provided the obligations are guaranteed or carry ratings appropriate to the policy. Securities must have a minimum Dun &amp; Bradstreet rating of A for bonds or R1 low for commercial paper. The policy also provides for investment limits on concentrations of securities by issuer and maximum-weighted average time to maturity of twelve months. This policy applies to all of our financial resources. The policy risks are primarily the opportunity cost of the conservative nature of the allowable investments. Until we are cash flow positive from operations, we have chosen to avoid investments of a trading or speculative nature.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classify fixed income investments with original maturities at the date of purchase greater than three months which mature at or less than twelve months as current. We carry investments at their fair value with unrealized gains and losses included in other comprehensive income (loss); however, we have not held any instruments that were classified as short-term investments during the periods presented in this Quarterly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Since our inception, we have not had any material off-balance sheet arrangements.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None, other than the lease agreements, and severance amounts described in notes to our condensed consolidated financial statements contained elsewhere in this Quarterly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our condensed consolidated financial statements in conformity with U.S. GAAP requires management to make estimates and assumptions that affect the reported amounts of assets, liabilities, revenues and expenses, as well as related disclosures of contingent assets and liabilities. Actual results could differ from those estimates, and such differences may be material to the financial statements in future periods.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have been no material changes to our critical accounting policies and estimates from those described in our Annual Report on Form 10-K for the year ended December 31, 2025, which include, among others, revenue recognition (including variable consideration and contract liabilities), valuation of accounts receivable and related allowances, inventory valuation, stock-based compensation, and income taxes. A detailed description of these policies is included in Note 2, “Significant Accounting Policies,” to our audited consolidated financial statements in that Form 10-K and in Note 2 to the condensed consolidated financial statements included in this Quarterly Report on Form 10-Q.</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Non-GAAP Measures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Adjusted EBITDA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To supplement our condensed consolidated financial statements presented in accordance with U.S. GAAP, the Company provides the computation of Adjusted EBITDA attributable to the Company, which is defined as net income adjusted for the following items: interest expense, depreciation expense, amortization of intangible assets, income tax expense, share-based compensation expense, other revenue, certain other specific provisions, and unrealized foreign exchange gains and/or losses. The adjustments to net income in computing Adjusted EBITDA are set forth in the reconciliation table below.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view Adjusted EBITDA as a key measure of our performance. We present Adjusted EBITDA because it assists us in comparing our performance across reporting periods on a consistent basis as it excludes certain items that we do not believe are indicative of our core operating performance. Our management uses Adjusted EBITDA:</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planning purposes, including the preparation of our annual operating budget and developing and refining our internal projections for future periods;</w:t>
            </w:r>
          </w:p>
        </w:tc>
      </w:tr>
    </w:tbl>
    <w:tbl>
      <w:tblPr>
        <w:tblW w:w="6546" w:type="dxa"/>
        <w:jc w:val="left"/>
        <w:tblInd w:w="0" w:type="dxa"/>
        <w:tblLayout w:type="fixed"/>
        <w:tblCellMar>
          <w:top w:w="28" w:type="dxa"/>
          <w:left w:w="28" w:type="dxa"/>
          <w:bottom w:w="28" w:type="dxa"/>
          <w:right w:w="28" w:type="dxa"/>
        </w:tblCellMar>
      </w:tblPr>
      <w:tblGrid>
        <w:gridCol w:w="124"/>
        <w:gridCol w:w="256"/>
        <w:gridCol w:w="6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allocate resources to enhance the financial performance of our business;</w:t>
            </w:r>
          </w:p>
        </w:tc>
      </w:tr>
    </w:tbl>
    <w:tbl>
      <w:tblPr>
        <w:tblW w:w="8601" w:type="dxa"/>
        <w:jc w:val="left"/>
        <w:tblInd w:w="0" w:type="dxa"/>
        <w:tblLayout w:type="fixed"/>
        <w:tblCellMar>
          <w:top w:w="28" w:type="dxa"/>
          <w:left w:w="28" w:type="dxa"/>
          <w:bottom w:w="28" w:type="dxa"/>
          <w:right w:w="28" w:type="dxa"/>
        </w:tblCellMar>
      </w:tblPr>
      <w:tblGrid>
        <w:gridCol w:w="124"/>
        <w:gridCol w:w="256"/>
        <w:gridCol w:w="8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target for the determination of the bonus component of compensation for our senior executives;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evaluate the effectiveness of our business strategies and as a tool in evaluating our performance against our budget for each period; and</w:t>
            </w:r>
          </w:p>
        </w:tc>
      </w:tr>
    </w:tbl>
    <w:tbl>
      <w:tblPr>
        <w:tblW w:w="8601" w:type="dxa"/>
        <w:jc w:val="left"/>
        <w:tblInd w:w="0" w:type="dxa"/>
        <w:tblLayout w:type="fixed"/>
        <w:tblCellMar>
          <w:top w:w="28" w:type="dxa"/>
          <w:left w:w="28" w:type="dxa"/>
          <w:bottom w:w="28" w:type="dxa"/>
          <w:right w:w="28" w:type="dxa"/>
        </w:tblCellMar>
      </w:tblPr>
      <w:tblGrid>
        <w:gridCol w:w="124"/>
        <w:gridCol w:w="256"/>
        <w:gridCol w:w="8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communications with our Board of Directors and investors concerning our financial performance.</w:t>
            </w:r>
          </w:p>
        </w:tc>
      </w:tr>
    </w:tbl>
    <w:p>
      <w:pPr>
        <w:pStyle w:val="TextBody"/>
        <w:bidi w:val="0"/>
        <w:spacing w:before="0" w:after="240"/>
        <w:ind w:left="72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Adjusted EBITDA is used by securities analysts, investors and other parties interested in the evaluation of the Company. Management believes the disclosure of Adjusted EBITDA offers an additional financial metric that, when coupled with results prepared in accordance with U.S. generally accepted accounting principles (U.S. GAAP) and the reconciliation to U.S. GAAP results, provides a more complete understanding of our results of operations and the factors and trends affecting our business. We believe Adjusted EBITDA is useful to investors for the following reasons: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and similar non-GAAP measures are widely used by investors to measure a company's operating performance without regard to items that can vary substantially from company to company depending upon financing and accounting methods, book values of assets, tax jurisdictions, capital structures and the methods by which assets were acquired;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can use Adjusted EBITDA as a supplemental measure to evaluate the overall operating performance of our Company, including our ability to service our debt and other cash needs;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comparing our Adjusted EBITDA in different historical periods, our investors can evaluate our operating performance excluding the impact of items described below.</w:t>
            </w:r>
          </w:p>
        </w:tc>
      </w:tr>
    </w:tbl>
    <w:p>
      <w:pPr>
        <w:pStyle w:val="TextBody"/>
        <w:bidi w:val="0"/>
        <w:spacing w:before="0" w:after="240"/>
        <w:ind w:left="72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adjustments included in the reconciliation table listed below are presented to illustrate the operating performance of our business in a manner consistent with the presentation used by our management. These adjustments eliminate the impact of a number of items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consider indicative of our ongoing operating performance, such as interest income, unrealized loss on securities;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to be akin to, or associated with, interest expense, such as revolving credit facility commitment fees and letter of credit fees;</w:t>
            </w:r>
          </w:p>
        </w:tc>
      </w:tr>
    </w:tbl>
    <w:tbl>
      <w:tblPr>
        <w:tblW w:w="5436" w:type="dxa"/>
        <w:jc w:val="left"/>
        <w:tblInd w:w="0" w:type="dxa"/>
        <w:tblLayout w:type="fixed"/>
        <w:tblCellMar>
          <w:top w:w="28" w:type="dxa"/>
          <w:left w:w="28" w:type="dxa"/>
          <w:bottom w:w="28" w:type="dxa"/>
          <w:right w:w="28" w:type="dxa"/>
        </w:tblCellMar>
      </w:tblPr>
      <w:tblGrid>
        <w:gridCol w:w="124"/>
        <w:gridCol w:w="256"/>
        <w:gridCol w:w="5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non-cash in nature, such as share-based compensation; or</w:t>
            </w:r>
          </w:p>
        </w:tc>
      </w:tr>
    </w:tbl>
    <w:p>
      <w:pPr>
        <w:pStyle w:val="TextBody"/>
        <w:bidi w:val="0"/>
        <w:spacing w:before="0" w:after="240"/>
        <w:ind w:left="72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Adjusted EBITDA does not represent, and should not be a substitute for, net income or cash flows from operations as determined in accordance with U.S. GAAP. Adjusted EBITDA has limitations as an analytical tool, and you should not consider it in isolation, or as a substitute for analysis of our results as reported under U.S. GAAP. Some of the limitations are: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our capital expenditures, or future requirements for capital expenditures or contractual commitments;</w:t>
            </w:r>
          </w:p>
        </w:tc>
      </w:tr>
    </w:tbl>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changes in, or cash requirements for, our working capital needs;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interest expense, or the cash requirements necessary to service interest or principal payments on our debt;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and amortized will often have to be replaced in the future, and Adjusted EBITDA does not reflect any cash requirements for such replacements;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of the adjustments that we use in calculating Adjusted EBITDA, such as non-cash write-downs and other charges, while not involving cash expense, do have a negative impact on the value of our assets as reflected in our consolidated balance sheet prepared in accordance with U.S. GAAP;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may calculate Adjusted EBITDA differently than we do, limiting its usefulness as a comparative measure.</w:t>
            </w:r>
          </w:p>
        </w:tc>
      </w:tr>
    </w:tbl>
    <w:p>
      <w:pPr>
        <w:pStyle w:val="TextBody"/>
        <w:bidi w:val="0"/>
        <w:spacing w:before="0" w:after="240"/>
        <w:ind w:left="72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Furthermore, as noted above, one of our uses of Adjusted EBITDA is as a target for determining elements of compensation for our senior executives. At the same time, some or all of these senior executives have responsibility for monitoring our financial results, generally including the adjustments in calculating Adjusted EBITDA (subject ultimately to review by our Board in the context of the Board's review of our financial statements). While many of the adjustments, involve mathematical application of items reflected in our financial statements, others involve a degree of judgment and discretion. While we believe all of these adjustments are appropriate, and while the calculations are subject to review by our Board in the context of the Board's review of our financial statements, this discretion may be viewed as an additional limitation on the use of Adjusted EBITDA as an analytical tool.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a reconciliation of net income to Adjusted EBITDA: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tbl>
      <w:tblPr>
        <w:tblW w:w="7644" w:type="dxa"/>
        <w:jc w:val="left"/>
        <w:tblInd w:w="0" w:type="dxa"/>
        <w:tblLayout w:type="fixed"/>
        <w:tblCellMar>
          <w:top w:w="0" w:type="dxa"/>
          <w:left w:w="0" w:type="dxa"/>
          <w:bottom w:w="0" w:type="dxa"/>
          <w:right w:w="0" w:type="dxa"/>
        </w:tblCellMar>
      </w:tblPr>
      <w:tblGrid>
        <w:gridCol w:w="3361"/>
        <w:gridCol w:w="226"/>
        <w:gridCol w:w="646"/>
        <w:gridCol w:w="346"/>
        <w:gridCol w:w="856"/>
        <w:gridCol w:w="226"/>
        <w:gridCol w:w="856"/>
        <w:gridCol w:w="226"/>
        <w:gridCol w:w="901"/>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34235" cy="175260"/>
                      <wp:effectExtent l="0" t="0" r="0" b="0"/>
                      <wp:wrapNone/>
                      <wp:docPr id="204" name="Frame204"/>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43510" cy="175260"/>
                      <wp:effectExtent l="0" t="0" r="0" b="0"/>
                      <wp:wrapNone/>
                      <wp:docPr id="205" name="Frame20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10210" cy="175260"/>
                      <wp:effectExtent l="0" t="0" r="0" b="0"/>
                      <wp:wrapNone/>
                      <wp:docPr id="206" name="Frame206"/>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7"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43560" cy="175260"/>
                      <wp:effectExtent l="0" t="0" r="0" b="0"/>
                      <wp:wrapNone/>
                      <wp:docPr id="208" name="Frame208"/>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43510" cy="175260"/>
                      <wp:effectExtent l="0" t="0" r="0" b="0"/>
                      <wp:wrapNone/>
                      <wp:docPr id="209" name="Frame20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543560" cy="175260"/>
                      <wp:effectExtent l="0" t="0" r="0" b="0"/>
                      <wp:wrapNone/>
                      <wp:docPr id="210" name="Frame210"/>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43510" cy="175260"/>
                      <wp:effectExtent l="0" t="0" r="0" b="0"/>
                      <wp:wrapNone/>
                      <wp:docPr id="211" name="Frame21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72135" cy="175260"/>
                      <wp:effectExtent l="0" t="0" r="0" b="0"/>
                      <wp:wrapNone/>
                      <wp:docPr id="212" name="Frame21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0"/>
              <w:ind w:left="0" w:right="0" w:hanging="0"/>
              <w:jc w:val="left"/>
              <w:rPr/>
            </w:pPr>
            <w:r>
              <w:rPr/>
              <w:t>​</w:t>
            </w:r>
          </w:p>
        </w:tc>
        <w:tc>
          <w:tcPr>
            <w:tcW w:w="207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226" w:type="dxa"/>
            <w:tcBorders/>
            <w:vAlign w:val="center"/>
          </w:tcPr>
          <w:p>
            <w:pPr>
              <w:pStyle w:val="TableContents"/>
              <w:bidi w:val="0"/>
              <w:spacing w:before="0" w:after="0"/>
              <w:ind w:left="0" w:right="0" w:hanging="0"/>
              <w:jc w:val="left"/>
              <w:rPr/>
            </w:pPr>
            <w:r>
              <w:rPr/>
              <w:t>​</w:t>
            </w:r>
          </w:p>
        </w:tc>
        <w:tc>
          <w:tcPr>
            <w:tcW w:w="198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3361"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2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2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3361" w:type="dxa"/>
            <w:tcBorders/>
            <w:vAlign w:val="center"/>
          </w:tcPr>
          <w:p>
            <w:pPr>
              <w:pStyle w:val="TableContents"/>
              <w:bidi w:val="0"/>
              <w:spacing w:before="0" w:after="0"/>
              <w:ind w:left="0" w:right="0" w:hanging="0"/>
              <w:jc w:val="left"/>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226" w:type="dxa"/>
            <w:tcBorders/>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2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1,973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(3,152)</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2,174</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(4,317)</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22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(287)</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(171)</w:t>
            </w:r>
          </w:p>
        </w:tc>
        <w:tc>
          <w:tcPr>
            <w:tcW w:w="2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(626)</w:t>
            </w:r>
          </w:p>
        </w:tc>
        <w:tc>
          <w:tcPr>
            <w:tcW w:w="2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(407)</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22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594</w:t>
            </w:r>
          </w:p>
        </w:tc>
        <w:tc>
          <w:tcPr>
            <w:tcW w:w="22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w:t>
            </w:r>
          </w:p>
        </w:tc>
        <w:tc>
          <w:tcPr>
            <w:tcW w:w="2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1,186</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22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42</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w:t>
            </w:r>
          </w:p>
        </w:tc>
        <w:tc>
          <w:tcPr>
            <w:tcW w:w="2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42</w:t>
            </w:r>
          </w:p>
        </w:tc>
        <w:tc>
          <w:tcPr>
            <w:tcW w:w="2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22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w:t>
            </w:r>
          </w:p>
        </w:tc>
        <w:tc>
          <w:tcPr>
            <w:tcW w:w="22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26</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 (a)</w:t>
            </w:r>
          </w:p>
        </w:tc>
        <w:tc>
          <w:tcPr>
            <w:tcW w:w="22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(710)</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w:t>
            </w:r>
          </w:p>
        </w:tc>
        <w:tc>
          <w:tcPr>
            <w:tcW w:w="2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(710)</w:t>
            </w:r>
          </w:p>
        </w:tc>
        <w:tc>
          <w:tcPr>
            <w:tcW w:w="2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based compensation expense (b)</w:t>
            </w:r>
          </w:p>
        </w:tc>
        <w:tc>
          <w:tcPr>
            <w:tcW w:w="22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1,774</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1,494</w:t>
            </w:r>
          </w:p>
        </w:tc>
        <w:tc>
          <w:tcPr>
            <w:tcW w:w="22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2,764</w:t>
            </w:r>
          </w:p>
        </w:tc>
        <w:tc>
          <w:tcPr>
            <w:tcW w:w="2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2,292</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securities</w:t>
            </w:r>
          </w:p>
        </w:tc>
        <w:tc>
          <w:tcPr>
            <w:tcW w:w="22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w:t>
            </w:r>
          </w:p>
        </w:tc>
        <w:tc>
          <w:tcPr>
            <w:tcW w:w="2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w:t>
            </w:r>
          </w:p>
        </w:tc>
        <w:tc>
          <w:tcPr>
            <w:tcW w:w="2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foreign exchange gain/(loss)</w:t>
            </w:r>
          </w:p>
        </w:tc>
        <w:tc>
          <w:tcPr>
            <w:tcW w:w="226" w:type="dxa"/>
            <w:tcBorders/>
            <w:shd w:fill="CCEEFF" w:val="clear"/>
            <w:vAlign w:val="center"/>
          </w:tcPr>
          <w:p>
            <w:pPr>
              <w:pStyle w:val="TableContents"/>
              <w:bidi w:val="0"/>
              <w:spacing w:before="0" w:after="0"/>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(17)</w:t>
            </w:r>
          </w:p>
        </w:tc>
        <w:tc>
          <w:tcPr>
            <w:tcW w:w="226" w:type="dxa"/>
            <w:tcBorders/>
            <w:shd w:fill="CCEEFF" w:val="cle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18</w:t>
            </w:r>
          </w:p>
        </w:tc>
        <w:tc>
          <w:tcPr>
            <w:tcW w:w="2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(30)</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2,801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(1,238)</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3,672</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(1,248)</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62"/>
        <w:gridCol w:w="9819"/>
      </w:tblGrid>
      <w:tr>
        <w:trPr/>
        <w:tc>
          <w:tcPr>
            <w:tcW w:w="124" w:type="dxa"/>
            <w:tcBorders/>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19"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Represents the portion of GAAP revenue related to “material rights” under the Company’s PEDMARK</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license with Norgine that is non-cash in the current period and was previously recorded as deferred licensing revenue. Under ASC 606, a portion of the upfront consideration received under this agreement was allocated to a material right and recorded as deferred revenue (contract liability), which is subsequently recognized as revenue as PEDMARK</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units are shipped to Norgine and the related material right is satisfied. These amounts are included in GAAP revenue in the periods presented, and the Company continues to apply GAAP recognition and measurement for all revenue, including this component. The adjustment is intended solely to remove this non-cash amortization of previously deferred licensing revenue from Adjusted EBITDA, as management believes excluding this item provides a more comparable view of period-over-period cash operating performance from the Company’s commercial activities.</w:t>
            </w:r>
          </w:p>
        </w:tc>
      </w:tr>
    </w:tbl>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76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share-based compensation expense to account for stock options, restricted stock, and other stock awards over their respective vesting periods.</w:t>
            </w:r>
          </w:p>
        </w:tc>
      </w:tr>
    </w:tbl>
    <w:tbl>
      <w:tblPr>
        <w:tblW w:w="1041"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78740" cy="29210"/>
                      <wp:effectExtent l="0" t="0" r="0" b="0"/>
                      <wp:wrapNone/>
                      <wp:docPr id="213" name="Frame213"/>
                      <a:graphic xmlns:a="http://schemas.openxmlformats.org/drawingml/2006/main">
                        <a:graphicData uri="http://schemas.microsoft.com/office/word/2010/wordprocessingShape">
                          <wps:wsp>
                            <wps:cNvSpPr txBox="1"/>
                            <wps:spPr>
                              <a:xfrm>
                                <a:off x="0" y="0"/>
                                <a:ext cx="787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9215" cy="29210"/>
                      <wp:effectExtent l="0" t="0" r="0" b="0"/>
                      <wp:wrapNone/>
                      <wp:docPr id="214" name="Frame214"/>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9215" cy="175260"/>
                      <wp:effectExtent l="0" t="0" r="0" b="0"/>
                      <wp:wrapNone/>
                      <wp:docPr id="215" name="Frame2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9215" cy="175260"/>
                      <wp:effectExtent l="0" t="0" r="0" b="0"/>
                      <wp:wrapNone/>
                      <wp:docPr id="216" name="Frame2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9215" cy="175260"/>
                      <wp:effectExtent l="0" t="0" r="0" b="0"/>
                      <wp:wrapNone/>
                      <wp:docPr id="217" name="Frame2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9215" cy="175260"/>
                      <wp:effectExtent l="0" t="0" r="0" b="0"/>
                      <wp:wrapNone/>
                      <wp:docPr id="218" name="Frame2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9215" cy="175260"/>
                      <wp:effectExtent l="0" t="0" r="0" b="0"/>
                      <wp:wrapNone/>
                      <wp:docPr id="219" name="Frame2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9215" cy="175260"/>
                      <wp:effectExtent l="0" t="0" r="0" b="0"/>
                      <wp:wrapNone/>
                      <wp:docPr id="220" name="Frame2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97790" cy="175260"/>
                      <wp:effectExtent l="0" t="0" r="0" b="0"/>
                      <wp:wrapNone/>
                      <wp:docPr id="221" name="Frame22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904" w:name="Item3QuantitativeandQualitativeDisclosur"/>
      <w:bookmarkStart w:id="905" w:name="_66e38cd0_6fca_4747_8757_3dbaa385eb65"/>
      <w:bookmarkEnd w:id="904"/>
      <w:bookmarkEnd w:id="905"/>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906" w:name="Item4ControlsandProcedures"/>
      <w:bookmarkStart w:id="907" w:name="Item4ControlsandProcedures_400398"/>
      <w:bookmarkStart w:id="908" w:name="_77b58d24_6c8f_4a9e_b261_2709363c4903"/>
      <w:bookmarkEnd w:id="906"/>
      <w:bookmarkEnd w:id="907"/>
      <w:bookmarkEnd w:id="908"/>
      <w:r>
        <w:rPr>
          <w:rFonts w:ascii="Times New Roman;Times;serif" w:hAnsi="Times New Roman;Times;serif"/>
          <w:b/>
          <w:sz w:val="20"/>
        </w:rPr>
        <w:t>Item 4.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b/>
          <w:i/>
          <w:sz w:val="20"/>
        </w:rPr>
        <w:t>Evaluation of Disclosure Controls and Procedures</w:t>
      </w:r>
      <w:r>
        <w:rPr>
          <w:rFonts w:ascii="Times New Roman;Times;serif" w:hAnsi="Times New Roman;Times;serif"/>
          <w:sz w:val="20"/>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management, with the participation of our Chief Executive Officer and Chief Financial Officer, has conducted an evaluation of the effectiveness of the Company’s disclosure controls and procedures (as defined in Rule 13a-15(e) and 15d-15(e) under the Securities Exchange Act of 1934, as amended (the "Exchange Act") as of June 30, 2026.  The Company’s disclosure controls and procedures are designed to ensure that information required to be disclosed in the reports the Company files under the Exchange Act is recorded, processed, summarized and reported within the time periods specified in the SEC’s rules and forms and that such information is accumulated and communicated to the Company’s management, including the Company’s Chief Executive Officer and Chief Financial Officer, to allow for timely decisions regarding required disclosures. In designing and evaluating our disclosure controls and procedures, the Company’s management recognizes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In addition, the design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disclosure controls and procedures must reflect the fact that there are resource constraints that require the Company’s management to apply its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Based on this evaluation, the Company's Chief Executive Officer and Chief Financial Officer have concluded that, as of June 30, 2026, the Company's disclosure controls and procedures were effective.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were no changes to the Company’s internal control over financial reporting during the quarter ended June 30, 2026, that materially affected, or are reasonably likely to materially affect, the Company’s internal control over financial reporting.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Inherent Limitation on the Effectiveness of Internal Controls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that such improvements will be sufficient to provide us with effective internal control over financial reporting.</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909" w:name="PARTIIOTHERINFORMATION_440738"/>
      <w:bookmarkStart w:id="910" w:name="_f12d2ed9_658a_46cd_b01c_b6a9b65f70a0"/>
      <w:bookmarkEnd w:id="909"/>
      <w:bookmarkEnd w:id="910"/>
      <w:r>
        <w:rPr>
          <w:rFonts w:ascii="Times New Roman;Times;serif" w:hAnsi="Times New Roman;Times;serif"/>
          <w:b/>
          <w:sz w:val="20"/>
        </w:rPr>
        <w:t>PART II: OTHER INFORMATION</w:t>
      </w:r>
    </w:p>
    <w:p>
      <w:pPr>
        <w:pStyle w:val="TextBody"/>
        <w:pBdr/>
        <w:bidi w:val="0"/>
        <w:spacing w:before="0" w:after="0"/>
        <w:ind w:left="0" w:right="0" w:hanging="0"/>
        <w:jc w:val="left"/>
        <w:rPr>
          <w:rFonts w:ascii="Times New Roman;Times;serif" w:hAnsi="Times New Roman;Times;serif"/>
          <w:b/>
          <w:sz w:val="20"/>
        </w:rPr>
      </w:pPr>
      <w:bookmarkStart w:id="911" w:name="Item1LegalProceedings_499314"/>
      <w:bookmarkEnd w:id="911"/>
      <w:r>
        <w:rPr>
          <w:rFonts w:ascii="Times New Roman;Times;serif" w:hAnsi="Times New Roman;Times;serif"/>
          <w:b/>
          <w:sz w:val="20"/>
        </w:rPr>
        <w:t xml:space="preserve">Item 1. Legal Proceedings. </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not currently a party to any legal proceedings that, in the opinion of management, would have a material adverse effect on our business, financial condition or results of operations.</w:t>
      </w:r>
    </w:p>
    <w:p>
      <w:pPr>
        <w:pStyle w:val="TextBody"/>
        <w:bidi w:val="0"/>
        <w:spacing w:before="0" w:after="240"/>
        <w:ind w:left="0" w:right="0" w:hanging="0"/>
        <w:jc w:val="left"/>
        <w:rPr>
          <w:rFonts w:ascii="Times New Roman;Times;serif" w:hAnsi="Times New Roman;Times;serif"/>
          <w:b/>
          <w:sz w:val="20"/>
        </w:rPr>
      </w:pPr>
      <w:bookmarkStart w:id="912" w:name="Item1ARiskFactors_207910"/>
      <w:bookmarkStart w:id="913" w:name="_420ee19f_018e_4a5e_8686_132d303a5922"/>
      <w:bookmarkEnd w:id="912"/>
      <w:bookmarkEnd w:id="913"/>
      <w:r>
        <w:rPr>
          <w:rFonts w:ascii="Times New Roman;Times;serif" w:hAnsi="Times New Roman;Times;serif"/>
          <w:b/>
          <w:sz w:val="20"/>
        </w:rPr>
        <w:t>Item 1A. Risk Factors.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Annual Report on Form 10-K for the fiscal year ended December 31, 2025, filed with the SEC on March 27, 2026 (the “Annual Report”), includes a detailed discussion of our risk factors under the heading “PART I, Item 1A – Risk Factors.” You should carefully consider the risk factors discussed in our Annual Report, as well as other information in this Quarterly Report. Any of these risks could cause our business, financial condition, results of operations and future growth prospects to suffer. We are not aware of any material changes from the risk factors previously disclosed.</w:t>
      </w:r>
    </w:p>
    <w:p>
      <w:pPr>
        <w:pStyle w:val="TextBody"/>
        <w:bidi w:val="0"/>
        <w:spacing w:before="0" w:after="240"/>
        <w:ind w:left="0" w:right="0" w:hanging="0"/>
        <w:jc w:val="left"/>
        <w:rPr>
          <w:rFonts w:ascii="Times New Roman;Times;serif" w:hAnsi="Times New Roman;Times;serif"/>
          <w:b/>
          <w:sz w:val="20"/>
        </w:rPr>
      </w:pPr>
      <w:bookmarkStart w:id="914" w:name="Item2UnregisteredSalesofEquitySecurities"/>
      <w:bookmarkStart w:id="915" w:name="_aab110da_2821_496a_be56_7f8a57d47f84"/>
      <w:bookmarkEnd w:id="914"/>
      <w:bookmarkEnd w:id="915"/>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916" w:name="Item3DefaultsUponSeniorSecurities_709855"/>
      <w:bookmarkStart w:id="917" w:name="_7694de96_c0a0_4c44_93b5_abe12c5b5cbd"/>
      <w:bookmarkEnd w:id="916"/>
      <w:bookmarkEnd w:id="917"/>
      <w:r>
        <w:rPr>
          <w:rFonts w:ascii="Times New Roman;Times;serif" w:hAnsi="Times New Roman;Times;serif"/>
          <w:b/>
          <w:sz w:val="20"/>
        </w:rPr>
        <w:t>Item 3. Defaults Upon Senior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918" w:name="Item4MineSafetyDisclosures_768258"/>
      <w:bookmarkStart w:id="919" w:name="_f95f0b3d_cb5f_4852_a685_6a47944253d1"/>
      <w:bookmarkEnd w:id="918"/>
      <w:bookmarkEnd w:id="919"/>
      <w:r>
        <w:rPr>
          <w:rFonts w:ascii="Times New Roman;Times;serif" w:hAnsi="Times New Roman;Times;serif"/>
          <w:b/>
          <w:sz w:val="20"/>
        </w:rPr>
        <w:t>Item 4. Mine Safety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920" w:name="Item5OtherInformation_249802"/>
      <w:bookmarkStart w:id="921" w:name="_5bcc087e_dbeb_462b_8f6b_eb2586094ef2"/>
      <w:bookmarkEnd w:id="920"/>
      <w:bookmarkEnd w:id="921"/>
      <w:r>
        <w:rPr>
          <w:rFonts w:ascii="Times New Roman;Times;serif" w:hAnsi="Times New Roman;Times;serif"/>
          <w:b/>
          <w:sz w:val="20"/>
        </w:rPr>
        <w:t>Item 5. Other Information.</w:t>
      </w:r>
    </w:p>
    <w:p>
      <w:pPr>
        <w:pStyle w:val="TextBody"/>
        <w:bidi w:val="0"/>
        <w:spacing w:before="0" w:after="240"/>
        <w:ind w:left="0" w:right="0" w:hanging="0"/>
        <w:jc w:val="left"/>
        <w:rPr>
          <w:rFonts w:ascii="Times New Roman;Times;serif" w:hAnsi="Times New Roman;Times;serif"/>
          <w:b w:val="false"/>
          <w:i/>
          <w:color w:val="0D0D0D"/>
          <w:sz w:val="20"/>
        </w:rPr>
      </w:pPr>
      <w:r>
        <w:rPr>
          <w:rFonts w:ascii="Times New Roman;Times;serif" w:hAnsi="Times New Roman;Times;serif"/>
          <w:b w:val="false"/>
          <w:i/>
          <w:color w:val="0D0D0D"/>
          <w:sz w:val="20"/>
        </w:rPr>
        <w:t>Insider Trading Arrangements and Policies</w:t>
      </w:r>
    </w:p>
    <w:p>
      <w:pPr>
        <w:pStyle w:val="TextBody"/>
        <w:bidi w:val="0"/>
        <w:spacing w:before="0" w:after="0"/>
        <w:ind w:left="0" w:right="0" w:hanging="0"/>
        <w:jc w:val="both"/>
        <w:rPr>
          <w:rFonts w:ascii="Times New Roman;Times;serif" w:hAnsi="Times New Roman;Times;serif"/>
          <w:color w:val="0D0D0D"/>
          <w:sz w:val="20"/>
        </w:rPr>
      </w:pPr>
      <w:r>
        <w:rPr>
          <w:rFonts w:ascii="Times New Roman;Times;serif" w:hAnsi="Times New Roman;Times;serif"/>
          <w:color w:val="0D0D0D"/>
          <w:sz w:val="20"/>
        </w:rPr>
        <w:t>Robert Andrade, the Company’s Chief Financial Officer, adopted a trading arrangement on May 22, 2026, which is intended to satisfy the affirmative defense conditions of Rule 10b5-1 under the Securities Exchange Act of 1934, as amended. This trading arrangement covers the disposition of up to 75,000 shares of the Company’s common stock, including shares issuable upon exercise of stock options, and will terminate on September 30, 2026, unless earlier terminated in accordance with its terms.</w:t>
      </w:r>
    </w:p>
    <w:p>
      <w:pPr>
        <w:pStyle w:val="TextBody"/>
        <w:bidi w:val="0"/>
        <w:spacing w:before="0" w:after="0"/>
        <w:ind w:left="0" w:right="0" w:hanging="0"/>
        <w:jc w:val="both"/>
        <w:rPr>
          <w:color w:val="0D0D0D"/>
        </w:rPr>
      </w:pPr>
      <w:r>
        <w:rPr>
          <w:color w:val="0D0D0D"/>
        </w:rPr>
        <w:t>​</w:t>
      </w:r>
    </w:p>
    <w:p>
      <w:pPr>
        <w:pStyle w:val="TextBody"/>
        <w:bidi w:val="0"/>
        <w:spacing w:before="0" w:after="0"/>
        <w:ind w:left="0" w:right="0" w:hanging="0"/>
        <w:jc w:val="both"/>
        <w:rPr>
          <w:rFonts w:ascii="Times New Roman;Times;serif" w:hAnsi="Times New Roman;Times;serif"/>
          <w:color w:val="0D0D0D"/>
          <w:sz w:val="20"/>
        </w:rPr>
      </w:pPr>
      <w:r>
        <w:rPr>
          <w:rFonts w:ascii="Times New Roman;Times;serif" w:hAnsi="Times New Roman;Times;serif"/>
          <w:color w:val="0D0D0D"/>
          <w:sz w:val="20"/>
        </w:rPr>
        <w:t>Marco Brughera, a current member of the Company’s Board of Directors, adopted a trading arrangement on June 16, 2026, which is intended to satisfy the affirmative defense conditions of Rule 10b5-1 under the Securities Exchange Act of 1934, as amended. This trading arrangement covers the disposition of up to 55,545 shares of the Company’s common stock, including shares issuable upon exercise of stock options, and will terminate on June 25, 2027, unless earlier terminated in accordance with its terms.</w:t>
      </w:r>
    </w:p>
    <w:p>
      <w:pPr>
        <w:pStyle w:val="TextBody"/>
        <w:bidi w:val="0"/>
        <w:spacing w:before="0" w:after="0"/>
        <w:ind w:left="0" w:right="0" w:hanging="0"/>
        <w:jc w:val="both"/>
        <w:rPr>
          <w:color w:val="0D0D0D"/>
        </w:rPr>
      </w:pPr>
      <w:r>
        <w:rPr>
          <w:color w:val="0D0D0D"/>
        </w:rPr>
        <w:t>​</w:t>
      </w:r>
    </w:p>
    <w:p>
      <w:pPr>
        <w:pStyle w:val="TextBody"/>
        <w:bidi w:val="0"/>
        <w:spacing w:before="0" w:after="0"/>
        <w:ind w:left="0" w:right="0" w:hanging="0"/>
        <w:jc w:val="both"/>
        <w:rPr>
          <w:rFonts w:ascii="Times New Roman;Times;serif" w:hAnsi="Times New Roman;Times;serif"/>
          <w:color w:val="0D0D0D"/>
          <w:sz w:val="20"/>
        </w:rPr>
      </w:pPr>
      <w:r>
        <w:rPr>
          <w:rFonts w:ascii="Times New Roman;Times;serif" w:hAnsi="Times New Roman;Times;serif"/>
          <w:color w:val="0D0D0D"/>
          <w:sz w:val="20"/>
        </w:rPr>
        <w:t>During the quarter ended June 30, 2026, no other director or officer of the Company adopted or terminated a “Rule 10b5-1 trading arrangement” or “non-Rule 10b5-1 trading arrangement, as each term is defined in Item 408(a) of Regulations S-K.</w:t>
      </w:r>
    </w:p>
    <w:p>
      <w:pPr>
        <w:pStyle w:val="TextBody"/>
        <w:bidi w:val="0"/>
        <w:spacing w:before="0" w:after="0"/>
        <w:ind w:left="0" w:right="0" w:hanging="0"/>
        <w:jc w:val="left"/>
        <w:rPr>
          <w:color w:val="0D0D0D"/>
        </w:rPr>
      </w:pPr>
      <w:r>
        <w:rPr>
          <w:color w:val="0D0D0D"/>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Press Release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August 11, 2026, we issued a press release announcing our financial results for the quarter ended June 30, 2026. A copy of the news release is attached to this Quarterly Report as Exhibit 99.1. The press release is being furnished and shall not be deemed to be filed for the purposes of Section 18 of the Securities Exchange Act of 1934 (the “Exchange Act”), or incorporated by reference into any filing under the Securities Act of 1933 or the Exchange Act, unless such subsequent filing specifically references the press release.</w:t>
      </w:r>
    </w:p>
    <w:p>
      <w:pPr>
        <w:pStyle w:val="TextBody"/>
        <w:bidi w:val="0"/>
        <w:spacing w:before="0" w:after="0"/>
        <w:ind w:left="0" w:right="0" w:hanging="0"/>
        <w:jc w:val="left"/>
        <w:rPr/>
      </w:pPr>
      <w:bookmarkStart w:id="922" w:name="_11bed120_79e5_4c08_8241_acac8b3133da"/>
      <w:bookmarkEnd w:id="922"/>
      <w:r>
        <w:rPr/>
        <w:t>​</w:t>
      </w:r>
    </w:p>
    <w:p>
      <w:pPr>
        <w:pStyle w:val="TextBody"/>
        <w:bidi w:val="0"/>
        <w:spacing w:before="0" w:after="0"/>
        <w:ind w:left="0" w:right="0" w:hanging="0"/>
        <w:jc w:val="left"/>
        <w:rPr>
          <w:rFonts w:ascii="Times New Roman;Times;serif" w:hAnsi="Times New Roman;Times;serif"/>
          <w:b/>
          <w:sz w:val="20"/>
        </w:rPr>
      </w:pPr>
      <w:bookmarkStart w:id="923" w:name="Item6Exhibits_988289"/>
      <w:bookmarkEnd w:id="923"/>
      <w:r>
        <w:rPr>
          <w:rFonts w:ascii="Times New Roman;Times;serif" w:hAnsi="Times New Roman;Times;serif"/>
          <w:b/>
          <w:sz w:val="20"/>
        </w:rPr>
        <w:t>Item 6. 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55"/>
        <w:gridCol w:w="36"/>
        <w:gridCol w:w="171"/>
        <w:gridCol w:w="3356"/>
        <w:gridCol w:w="4646"/>
        <w:gridCol w:w="1241"/>
      </w:tblGrid>
      <w:tr>
        <w:trPr/>
        <w:tc>
          <w:tcPr>
            <w:tcW w:w="791"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02285" cy="29210"/>
                      <wp:effectExtent l="0" t="0" r="0" b="0"/>
                      <wp:wrapNone/>
                      <wp:docPr id="222" name="Frame222"/>
                      <a:graphic xmlns:a="http://schemas.openxmlformats.org/drawingml/2006/main">
                        <a:graphicData uri="http://schemas.microsoft.com/office/word/2010/wordprocessingShape">
                          <wps:wsp>
                            <wps:cNvSpPr txBox="1"/>
                            <wps:spPr>
                              <a:xfrm>
                                <a:off x="0" y="0"/>
                                <a:ext cx="502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527"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239645" cy="29210"/>
                      <wp:effectExtent l="0" t="0" r="0" b="0"/>
                      <wp:wrapNone/>
                      <wp:docPr id="223" name="Frame223"/>
                      <a:graphic xmlns:a="http://schemas.openxmlformats.org/drawingml/2006/main">
                        <a:graphicData uri="http://schemas.microsoft.com/office/word/2010/wordprocessingShape">
                          <wps:wsp>
                            <wps:cNvSpPr txBox="1"/>
                            <wps:spPr>
                              <a:xfrm>
                                <a:off x="0" y="0"/>
                                <a:ext cx="22396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887"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3738245" cy="29210"/>
                      <wp:effectExtent l="0" t="0" r="0" b="0"/>
                      <wp:wrapNone/>
                      <wp:docPr id="224" name="Frame224"/>
                      <a:graphic xmlns:a="http://schemas.openxmlformats.org/drawingml/2006/main">
                        <a:graphicData uri="http://schemas.microsoft.com/office/word/2010/wordprocessingShape">
                          <wps:wsp>
                            <wps:cNvSpPr txBox="1"/>
                            <wps:spPr>
                              <a:xfrm>
                                <a:off x="0" y="0"/>
                                <a:ext cx="37382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Exhibit</w:t>
            </w:r>
            <w:r>
              <w:rPr>
                <w:rFonts w:ascii="Times New Roman;Times;serif" w:hAnsi="Times New Roman;Times;serif"/>
                <w:sz w:val="20"/>
              </w:rPr>
              <w:br/>
            </w:r>
            <w:r>
              <w:rPr>
                <w:rFonts w:ascii="Times New Roman;Times;serif" w:hAnsi="Times New Roman;Times;serif"/>
                <w:b/>
                <w:sz w:val="20"/>
              </w:rPr>
              <w:t>No.</w:t>
            </w:r>
          </w:p>
        </w:tc>
        <w:tc>
          <w:tcPr>
            <w:tcW w:w="3527" w:type="dxa"/>
            <w:gridSpan w:val="2"/>
            <w:tcBorders>
              <w:bottom w:val="single" w:sz="2" w:space="0" w:color="000000"/>
            </w:tcBorders>
            <w:tcMar>
              <w:bottom w:w="28" w:type="dxa"/>
            </w:tcMar>
            <w:vAlign w:val="center"/>
          </w:tcPr>
          <w:p>
            <w:pPr>
              <w:pStyle w:val="TableContents"/>
              <w:bidi w:val="0"/>
              <w:spacing w:before="0" w:after="0"/>
              <w:ind w:left="0" w:right="0" w:hanging="0"/>
              <w:jc w:val="both"/>
              <w:rPr/>
            </w:pPr>
            <w:r>
              <w:rPr/>
              <w:t>  ​ ​ ​</w:t>
            </w:r>
          </w:p>
        </w:tc>
        <w:tc>
          <w:tcPr>
            <w:tcW w:w="5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791" w:type="dxa"/>
            <w:gridSpan w:val="2"/>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527" w:type="dxa"/>
            <w:gridSpan w:val="2"/>
            <w:tcBorders/>
            <w:vAlign w:val="center"/>
          </w:tcPr>
          <w:p>
            <w:pPr>
              <w:pStyle w:val="TableContents"/>
              <w:bidi w:val="0"/>
              <w:spacing w:before="0" w:after="0"/>
              <w:ind w:left="0" w:right="0" w:hanging="0"/>
              <w:jc w:val="both"/>
              <w:rPr/>
            </w:pPr>
            <w:r>
              <w:rPr/>
              <w:t>​</w:t>
            </w:r>
          </w:p>
        </w:tc>
        <w:tc>
          <w:tcPr>
            <w:tcW w:w="5887" w:type="dxa"/>
            <w:gridSpan w:val="2"/>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7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207" w:type="dxa"/>
            <w:gridSpan w:val="2"/>
            <w:tcBorders/>
            <w:vAlign w:val="center"/>
          </w:tcPr>
          <w:p>
            <w:pPr>
              <w:pStyle w:val="TableContents"/>
              <w:bidi w:val="0"/>
              <w:spacing w:before="0" w:after="0"/>
              <w:ind w:left="0" w:right="0" w:hanging="0"/>
              <w:jc w:val="both"/>
              <w:rPr/>
            </w:pPr>
            <w:r>
              <w:rPr/>
              <w:t>​</w:t>
            </w:r>
          </w:p>
        </w:tc>
        <w:tc>
          <w:tcPr>
            <w:tcW w:w="8002" w:type="dxa"/>
            <w:gridSpan w:val="2"/>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Fennec Pharmaceuticals Inc. 2020 Equity Incentive Plan, as amended (incorporated by reference to Exhibit 99.1 to the Registrant's Registration Statement on Form S-8 filed June 11, 2026).</w:t>
              </w:r>
            </w:hyperlink>
          </w:p>
        </w:tc>
        <w:tc>
          <w:tcPr>
            <w:tcW w:w="1241" w:type="dxa"/>
            <w:tcBorders/>
            <w:vAlign w:val="center"/>
          </w:tcPr>
          <w:p>
            <w:pPr>
              <w:pStyle w:val="TableContents"/>
              <w:bidi w:val="0"/>
              <w:spacing w:before="0" w:after="283"/>
              <w:ind w:left="0" w:right="0" w:hanging="0"/>
              <w:jc w:val="left"/>
              <w:rPr>
                <w:sz w:val="4"/>
                <w:szCs w:val="4"/>
              </w:rPr>
            </w:pPr>
            <w:r>
              <w:rPr>
                <w:sz w:val="4"/>
                <w:szCs w:val="4"/>
              </w:rPr>
            </w:r>
          </w:p>
        </w:tc>
      </w:tr>
      <w:tr>
        <w:trPr/>
        <w:tc>
          <w:tcPr>
            <w:tcW w:w="791" w:type="dxa"/>
            <w:gridSpan w:val="2"/>
            <w:tcBorders/>
            <w:vAlign w:val="center"/>
          </w:tcPr>
          <w:p>
            <w:pPr>
              <w:pStyle w:val="TableContents"/>
              <w:bidi w:val="0"/>
              <w:spacing w:before="0" w:after="0"/>
              <w:ind w:left="0" w:right="0" w:hanging="0"/>
              <w:jc w:val="left"/>
              <w:rPr/>
            </w:pPr>
            <w:r>
              <w:rPr/>
              <w:t>​</w:t>
            </w:r>
          </w:p>
        </w:tc>
        <w:tc>
          <w:tcPr>
            <w:tcW w:w="3527" w:type="dxa"/>
            <w:gridSpan w:val="2"/>
            <w:tcBorders/>
            <w:vAlign w:val="center"/>
          </w:tcPr>
          <w:p>
            <w:pPr>
              <w:pStyle w:val="TableContents"/>
              <w:bidi w:val="0"/>
              <w:spacing w:before="0" w:after="0"/>
              <w:ind w:left="0" w:right="0" w:hanging="0"/>
              <w:jc w:val="both"/>
              <w:rPr/>
            </w:pPr>
            <w:r>
              <w:rPr/>
              <w:t>​</w:t>
            </w:r>
          </w:p>
        </w:tc>
        <w:tc>
          <w:tcPr>
            <w:tcW w:w="5887" w:type="dxa"/>
            <w:gridSpan w:val="2"/>
            <w:tcBorders/>
            <w:vAlign w:val="center"/>
          </w:tcPr>
          <w:p>
            <w:pPr>
              <w:pStyle w:val="TableContents"/>
              <w:bidi w:val="0"/>
              <w:spacing w:before="0" w:after="0"/>
              <w:ind w:left="0" w:right="0" w:hanging="0"/>
              <w:jc w:val="left"/>
              <w:rPr/>
            </w:pPr>
            <w:r>
              <w:rPr/>
              <w:t>​</w:t>
            </w:r>
          </w:p>
        </w:tc>
      </w:tr>
      <w:tr>
        <w:trPr/>
        <w:tc>
          <w:tcPr>
            <w:tcW w:w="7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527" w:type="dxa"/>
            <w:gridSpan w:val="2"/>
            <w:tcBorders/>
            <w:vAlign w:val="center"/>
          </w:tcPr>
          <w:p>
            <w:pPr>
              <w:pStyle w:val="TableContents"/>
              <w:bidi w:val="0"/>
              <w:spacing w:before="0" w:after="0"/>
              <w:ind w:left="0" w:right="0" w:hanging="0"/>
              <w:jc w:val="both"/>
              <w:rPr/>
            </w:pPr>
            <w:r>
              <w:rPr/>
              <w:t>​</w:t>
            </w:r>
          </w:p>
        </w:tc>
        <w:tc>
          <w:tcPr>
            <w:tcW w:w="5887" w:type="dxa"/>
            <w:gridSpan w:val="2"/>
            <w:tcBorders/>
            <w:vAlign w:val="center"/>
          </w:tcPr>
          <w:p>
            <w:pPr>
              <w:pStyle w:val="TableContents"/>
              <w:bidi w:val="0"/>
              <w:spacing w:before="0" w:after="0"/>
              <w:ind w:left="0" w:right="0" w:hanging="0"/>
              <w:jc w:val="left"/>
              <w:rPr/>
            </w:pPr>
            <w:hyperlink w:anchor="fencf-20260630xex31d1.htm">
              <w:r>
                <w:rPr>
                  <w:rStyle w:val="InternetLink"/>
                  <w:rFonts w:ascii="Times New Roman;Times;serif" w:hAnsi="Times New Roman;Times;serif"/>
                  <w:b w:val="false"/>
                  <w:i w:val="false"/>
                  <w:caps w:val="false"/>
                  <w:smallCaps w:val="false"/>
                  <w:sz w:val="20"/>
                </w:rPr>
                <w:t>Certification of Chief Executive Officer of the Company in accordance with Section 302 of the Sarbanes-Oxley Act of 2002 (filed herewith).</w:t>
              </w:r>
            </w:hyperlink>
          </w:p>
        </w:tc>
      </w:tr>
      <w:tr>
        <w:trPr/>
        <w:tc>
          <w:tcPr>
            <w:tcW w:w="791" w:type="dxa"/>
            <w:gridSpan w:val="2"/>
            <w:tcBorders/>
            <w:vAlign w:val="center"/>
          </w:tcPr>
          <w:p>
            <w:pPr>
              <w:pStyle w:val="TableContents"/>
              <w:bidi w:val="0"/>
              <w:spacing w:before="0" w:after="0"/>
              <w:ind w:left="0" w:right="0" w:hanging="0"/>
              <w:jc w:val="left"/>
              <w:rPr/>
            </w:pPr>
            <w:r>
              <w:rPr/>
              <w:t> </w:t>
            </w:r>
          </w:p>
        </w:tc>
        <w:tc>
          <w:tcPr>
            <w:tcW w:w="3527" w:type="dxa"/>
            <w:gridSpan w:val="2"/>
            <w:tcBorders/>
            <w:vAlign w:val="center"/>
          </w:tcPr>
          <w:p>
            <w:pPr>
              <w:pStyle w:val="TableContents"/>
              <w:bidi w:val="0"/>
              <w:spacing w:before="0" w:after="0"/>
              <w:ind w:left="0" w:right="0" w:hanging="0"/>
              <w:jc w:val="both"/>
              <w:rPr/>
            </w:pPr>
            <w:r>
              <w:rPr/>
              <w:t>​</w:t>
            </w:r>
          </w:p>
        </w:tc>
        <w:tc>
          <w:tcPr>
            <w:tcW w:w="5887" w:type="dxa"/>
            <w:gridSpan w:val="2"/>
            <w:tcBorders/>
            <w:vAlign w:val="center"/>
          </w:tcPr>
          <w:p>
            <w:pPr>
              <w:pStyle w:val="TableContents"/>
              <w:bidi w:val="0"/>
              <w:spacing w:before="0" w:after="0"/>
              <w:ind w:left="0" w:right="0" w:hanging="0"/>
              <w:jc w:val="left"/>
              <w:rPr/>
            </w:pPr>
            <w:r>
              <w:rPr/>
              <w:t> </w:t>
            </w:r>
          </w:p>
        </w:tc>
      </w:tr>
      <w:tr>
        <w:trPr/>
        <w:tc>
          <w:tcPr>
            <w:tcW w:w="7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527" w:type="dxa"/>
            <w:gridSpan w:val="2"/>
            <w:tcBorders/>
            <w:vAlign w:val="center"/>
          </w:tcPr>
          <w:p>
            <w:pPr>
              <w:pStyle w:val="TableContents"/>
              <w:bidi w:val="0"/>
              <w:spacing w:before="0" w:after="0"/>
              <w:ind w:left="0" w:right="0" w:hanging="0"/>
              <w:jc w:val="both"/>
              <w:rPr/>
            </w:pPr>
            <w:r>
              <w:rPr/>
              <w:t>​</w:t>
            </w:r>
          </w:p>
        </w:tc>
        <w:tc>
          <w:tcPr>
            <w:tcW w:w="5887" w:type="dxa"/>
            <w:gridSpan w:val="2"/>
            <w:tcBorders/>
            <w:vAlign w:val="center"/>
          </w:tcPr>
          <w:p>
            <w:pPr>
              <w:pStyle w:val="TableContents"/>
              <w:bidi w:val="0"/>
              <w:spacing w:before="0" w:after="0"/>
              <w:ind w:left="0" w:right="0" w:hanging="0"/>
              <w:jc w:val="left"/>
              <w:rPr/>
            </w:pPr>
            <w:hyperlink w:anchor="fencf-20260630xex31d2.htm">
              <w:r>
                <w:rPr>
                  <w:rStyle w:val="InternetLink"/>
                  <w:rFonts w:ascii="Times New Roman;Times;serif" w:hAnsi="Times New Roman;Times;serif"/>
                  <w:b w:val="false"/>
                  <w:i w:val="false"/>
                  <w:caps w:val="false"/>
                  <w:smallCaps w:val="false"/>
                  <w:sz w:val="20"/>
                </w:rPr>
                <w:t>Certification of Chief Financial Officer of the Company in accordance with Section 302 of the Sarbanes-Oxley Act of 2002 (filed herewith).</w:t>
              </w:r>
            </w:hyperlink>
          </w:p>
        </w:tc>
      </w:tr>
      <w:tr>
        <w:trPr/>
        <w:tc>
          <w:tcPr>
            <w:tcW w:w="791" w:type="dxa"/>
            <w:gridSpan w:val="2"/>
            <w:tcBorders/>
            <w:vAlign w:val="center"/>
          </w:tcPr>
          <w:p>
            <w:pPr>
              <w:pStyle w:val="TableContents"/>
              <w:bidi w:val="0"/>
              <w:spacing w:before="0" w:after="0"/>
              <w:ind w:left="0" w:right="0" w:hanging="0"/>
              <w:jc w:val="left"/>
              <w:rPr/>
            </w:pPr>
            <w:r>
              <w:rPr/>
              <w:t> </w:t>
            </w:r>
          </w:p>
        </w:tc>
        <w:tc>
          <w:tcPr>
            <w:tcW w:w="3527" w:type="dxa"/>
            <w:gridSpan w:val="2"/>
            <w:tcBorders/>
            <w:vAlign w:val="center"/>
          </w:tcPr>
          <w:p>
            <w:pPr>
              <w:pStyle w:val="TableContents"/>
              <w:bidi w:val="0"/>
              <w:spacing w:before="0" w:after="0"/>
              <w:ind w:left="0" w:right="0" w:hanging="0"/>
              <w:jc w:val="both"/>
              <w:rPr/>
            </w:pPr>
            <w:r>
              <w:rPr/>
              <w:t>​</w:t>
            </w:r>
          </w:p>
        </w:tc>
        <w:tc>
          <w:tcPr>
            <w:tcW w:w="5887" w:type="dxa"/>
            <w:gridSpan w:val="2"/>
            <w:tcBorders/>
            <w:vAlign w:val="center"/>
          </w:tcPr>
          <w:p>
            <w:pPr>
              <w:pStyle w:val="TableContents"/>
              <w:bidi w:val="0"/>
              <w:spacing w:before="0" w:after="0"/>
              <w:ind w:left="0" w:right="0" w:hanging="0"/>
              <w:jc w:val="left"/>
              <w:rPr/>
            </w:pPr>
            <w:r>
              <w:rPr/>
              <w:t> </w:t>
            </w:r>
          </w:p>
        </w:tc>
      </w:tr>
      <w:tr>
        <w:trPr/>
        <w:tc>
          <w:tcPr>
            <w:tcW w:w="7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527" w:type="dxa"/>
            <w:gridSpan w:val="2"/>
            <w:tcBorders/>
            <w:vAlign w:val="center"/>
          </w:tcPr>
          <w:p>
            <w:pPr>
              <w:pStyle w:val="TableContents"/>
              <w:bidi w:val="0"/>
              <w:spacing w:before="0" w:after="0"/>
              <w:ind w:left="0" w:right="0" w:hanging="0"/>
              <w:jc w:val="both"/>
              <w:rPr/>
            </w:pPr>
            <w:r>
              <w:rPr/>
              <w:t>​</w:t>
            </w:r>
          </w:p>
        </w:tc>
        <w:tc>
          <w:tcPr>
            <w:tcW w:w="5887" w:type="dxa"/>
            <w:gridSpan w:val="2"/>
            <w:tcBorders/>
            <w:vAlign w:val="center"/>
          </w:tcPr>
          <w:p>
            <w:pPr>
              <w:pStyle w:val="TableContents"/>
              <w:bidi w:val="0"/>
              <w:spacing w:before="0" w:after="0"/>
              <w:ind w:left="0" w:right="0" w:hanging="0"/>
              <w:jc w:val="left"/>
              <w:rPr/>
            </w:pPr>
            <w:hyperlink w:anchor="fencf-20260630xex32d1.htm">
              <w:r>
                <w:rPr>
                  <w:rStyle w:val="InternetLink"/>
                  <w:rFonts w:ascii="Times New Roman;Times;serif" w:hAnsi="Times New Roman;Times;serif"/>
                  <w:b w:val="false"/>
                  <w:i w:val="false"/>
                  <w:caps w:val="false"/>
                  <w:smallCaps w:val="false"/>
                  <w:sz w:val="20"/>
                </w:rPr>
                <w:t>Certification of Chief Executive Officer and Chief Financial Officer of the Company in accordance with Section 906 of the Sarbanes-Oxley Act of 2002 (furnished herewith).</w:t>
              </w:r>
            </w:hyperlink>
          </w:p>
        </w:tc>
      </w:tr>
      <w:tr>
        <w:trPr/>
        <w:tc>
          <w:tcPr>
            <w:tcW w:w="791" w:type="dxa"/>
            <w:gridSpan w:val="2"/>
            <w:tcBorders/>
            <w:vAlign w:val="center"/>
          </w:tcPr>
          <w:p>
            <w:pPr>
              <w:pStyle w:val="TableContents"/>
              <w:bidi w:val="0"/>
              <w:spacing w:before="0" w:after="0"/>
              <w:ind w:left="0" w:right="0" w:hanging="0"/>
              <w:jc w:val="left"/>
              <w:rPr/>
            </w:pPr>
            <w:r>
              <w:rPr/>
              <w:t> </w:t>
            </w:r>
          </w:p>
        </w:tc>
        <w:tc>
          <w:tcPr>
            <w:tcW w:w="3527" w:type="dxa"/>
            <w:gridSpan w:val="2"/>
            <w:tcBorders/>
            <w:vAlign w:val="center"/>
          </w:tcPr>
          <w:p>
            <w:pPr>
              <w:pStyle w:val="TableContents"/>
              <w:bidi w:val="0"/>
              <w:spacing w:before="0" w:after="0"/>
              <w:ind w:left="0" w:right="0" w:hanging="0"/>
              <w:jc w:val="both"/>
              <w:rPr/>
            </w:pPr>
            <w:r>
              <w:rPr/>
              <w:t>​</w:t>
            </w:r>
          </w:p>
        </w:tc>
        <w:tc>
          <w:tcPr>
            <w:tcW w:w="5887" w:type="dxa"/>
            <w:gridSpan w:val="2"/>
            <w:tcBorders/>
            <w:vAlign w:val="center"/>
          </w:tcPr>
          <w:p>
            <w:pPr>
              <w:pStyle w:val="TableContents"/>
              <w:bidi w:val="0"/>
              <w:spacing w:before="0" w:after="0"/>
              <w:ind w:left="0" w:right="0" w:hanging="0"/>
              <w:jc w:val="left"/>
              <w:rPr/>
            </w:pPr>
            <w:r>
              <w:rPr/>
              <w:t> </w:t>
            </w:r>
          </w:p>
        </w:tc>
      </w:tr>
      <w:tr>
        <w:trPr/>
        <w:tc>
          <w:tcPr>
            <w:tcW w:w="7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3527" w:type="dxa"/>
            <w:gridSpan w:val="2"/>
            <w:tcBorders/>
            <w:vAlign w:val="center"/>
          </w:tcPr>
          <w:p>
            <w:pPr>
              <w:pStyle w:val="TableContents"/>
              <w:bidi w:val="0"/>
              <w:spacing w:before="0" w:after="0"/>
              <w:ind w:left="0" w:right="0" w:hanging="0"/>
              <w:jc w:val="both"/>
              <w:rPr/>
            </w:pPr>
            <w:r>
              <w:rPr/>
              <w:t>​</w:t>
            </w:r>
          </w:p>
        </w:tc>
        <w:tc>
          <w:tcPr>
            <w:tcW w:w="5887" w:type="dxa"/>
            <w:gridSpan w:val="2"/>
            <w:tcBorders/>
            <w:vAlign w:val="center"/>
          </w:tcPr>
          <w:p>
            <w:pPr>
              <w:pStyle w:val="TableContents"/>
              <w:bidi w:val="0"/>
              <w:spacing w:before="0" w:after="0"/>
              <w:ind w:left="0" w:right="0" w:hanging="0"/>
              <w:jc w:val="left"/>
              <w:rPr/>
            </w:pPr>
            <w:hyperlink w:anchor="fencf-20260630xex99d1.htm">
              <w:r>
                <w:rPr>
                  <w:rStyle w:val="InternetLink"/>
                  <w:rFonts w:ascii="Times New Roman;Times;serif" w:hAnsi="Times New Roman;Times;serif"/>
                  <w:b w:val="false"/>
                  <w:i w:val="false"/>
                  <w:caps w:val="false"/>
                  <w:smallCaps w:val="false"/>
                  <w:sz w:val="20"/>
                </w:rPr>
                <w:t>Press Release for Quarter June 30, 2026 (furnished herewith).</w:t>
              </w:r>
            </w:hyperlink>
          </w:p>
        </w:tc>
      </w:tr>
      <w:tr>
        <w:trPr/>
        <w:tc>
          <w:tcPr>
            <w:tcW w:w="791" w:type="dxa"/>
            <w:gridSpan w:val="2"/>
            <w:tcBorders/>
            <w:vAlign w:val="center"/>
          </w:tcPr>
          <w:p>
            <w:pPr>
              <w:pStyle w:val="TableContents"/>
              <w:bidi w:val="0"/>
              <w:spacing w:before="0" w:after="0"/>
              <w:ind w:left="0" w:right="0" w:hanging="0"/>
              <w:jc w:val="left"/>
              <w:rPr/>
            </w:pPr>
            <w:r>
              <w:rPr/>
              <w:t>​</w:t>
            </w:r>
          </w:p>
        </w:tc>
        <w:tc>
          <w:tcPr>
            <w:tcW w:w="3527" w:type="dxa"/>
            <w:gridSpan w:val="2"/>
            <w:tcBorders/>
            <w:vAlign w:val="center"/>
          </w:tcPr>
          <w:p>
            <w:pPr>
              <w:pStyle w:val="TableContents"/>
              <w:bidi w:val="0"/>
              <w:spacing w:before="0" w:after="0"/>
              <w:ind w:left="0" w:right="0" w:hanging="0"/>
              <w:jc w:val="both"/>
              <w:rPr/>
            </w:pPr>
            <w:r>
              <w:rPr/>
              <w:t>​</w:t>
            </w:r>
          </w:p>
        </w:tc>
        <w:tc>
          <w:tcPr>
            <w:tcW w:w="5887" w:type="dxa"/>
            <w:gridSpan w:val="2"/>
            <w:tcBorders/>
            <w:vAlign w:val="center"/>
          </w:tcPr>
          <w:p>
            <w:pPr>
              <w:pStyle w:val="TableContents"/>
              <w:bidi w:val="0"/>
              <w:spacing w:before="0" w:after="0"/>
              <w:ind w:left="0" w:right="0" w:hanging="0"/>
              <w:jc w:val="left"/>
              <w:rPr/>
            </w:pPr>
            <w:r>
              <w:rPr/>
              <w:t>​</w:t>
            </w:r>
          </w:p>
        </w:tc>
      </w:tr>
      <w:tr>
        <w:trPr/>
        <w:tc>
          <w:tcPr>
            <w:tcW w:w="7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527" w:type="dxa"/>
            <w:gridSpan w:val="2"/>
            <w:tcBorders/>
            <w:vAlign w:val="center"/>
          </w:tcPr>
          <w:p>
            <w:pPr>
              <w:pStyle w:val="TableContents"/>
              <w:bidi w:val="0"/>
              <w:spacing w:before="0" w:after="0"/>
              <w:ind w:left="0" w:right="0" w:hanging="0"/>
              <w:jc w:val="both"/>
              <w:rPr/>
            </w:pPr>
            <w:r>
              <w:rPr/>
              <w:t>​</w:t>
            </w:r>
          </w:p>
        </w:tc>
        <w:tc>
          <w:tcPr>
            <w:tcW w:w="588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791" w:type="dxa"/>
            <w:gridSpan w:val="2"/>
            <w:tcBorders/>
            <w:vAlign w:val="center"/>
          </w:tcPr>
          <w:p>
            <w:pPr>
              <w:pStyle w:val="TableContents"/>
              <w:bidi w:val="0"/>
              <w:spacing w:before="0" w:after="0"/>
              <w:ind w:left="0" w:right="0" w:hanging="0"/>
              <w:jc w:val="left"/>
              <w:rPr/>
            </w:pPr>
            <w:r>
              <w:rPr/>
              <w:t>​</w:t>
            </w:r>
          </w:p>
        </w:tc>
        <w:tc>
          <w:tcPr>
            <w:tcW w:w="3527" w:type="dxa"/>
            <w:gridSpan w:val="2"/>
            <w:tcBorders/>
            <w:vAlign w:val="center"/>
          </w:tcPr>
          <w:p>
            <w:pPr>
              <w:pStyle w:val="TableContents"/>
              <w:bidi w:val="0"/>
              <w:spacing w:before="0" w:after="0"/>
              <w:ind w:left="0" w:right="0" w:hanging="0"/>
              <w:jc w:val="both"/>
              <w:rPr/>
            </w:pPr>
            <w:r>
              <w:rPr/>
              <w:t>​</w:t>
            </w:r>
          </w:p>
        </w:tc>
        <w:tc>
          <w:tcPr>
            <w:tcW w:w="5887" w:type="dxa"/>
            <w:gridSpan w:val="2"/>
            <w:tcBorders/>
            <w:vAlign w:val="center"/>
          </w:tcPr>
          <w:p>
            <w:pPr>
              <w:pStyle w:val="TableContents"/>
              <w:bidi w:val="0"/>
              <w:spacing w:before="0" w:after="0"/>
              <w:ind w:left="0" w:right="0" w:hanging="0"/>
              <w:jc w:val="left"/>
              <w:rPr/>
            </w:pPr>
            <w:r>
              <w:rPr/>
              <w:t>​</w:t>
            </w:r>
          </w:p>
        </w:tc>
      </w:tr>
      <w:tr>
        <w:trPr/>
        <w:tc>
          <w:tcPr>
            <w:tcW w:w="7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527" w:type="dxa"/>
            <w:gridSpan w:val="2"/>
            <w:tcBorders/>
            <w:vAlign w:val="center"/>
          </w:tcPr>
          <w:p>
            <w:pPr>
              <w:pStyle w:val="TableContents"/>
              <w:bidi w:val="0"/>
              <w:spacing w:before="0" w:after="0"/>
              <w:ind w:left="0" w:right="0" w:hanging="0"/>
              <w:jc w:val="both"/>
              <w:rPr/>
            </w:pPr>
            <w:r>
              <w:rPr/>
              <w:t>​</w:t>
            </w:r>
          </w:p>
        </w:tc>
        <w:tc>
          <w:tcPr>
            <w:tcW w:w="588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91" w:type="dxa"/>
            <w:gridSpan w:val="2"/>
            <w:tcBorders/>
            <w:vAlign w:val="center"/>
          </w:tcPr>
          <w:p>
            <w:pPr>
              <w:pStyle w:val="TableContents"/>
              <w:bidi w:val="0"/>
              <w:spacing w:before="0" w:after="0"/>
              <w:ind w:left="0" w:right="0" w:hanging="0"/>
              <w:jc w:val="left"/>
              <w:rPr/>
            </w:pPr>
            <w:r>
              <w:rPr/>
              <w:t>​</w:t>
            </w:r>
          </w:p>
        </w:tc>
        <w:tc>
          <w:tcPr>
            <w:tcW w:w="3527" w:type="dxa"/>
            <w:gridSpan w:val="2"/>
            <w:tcBorders/>
            <w:vAlign w:val="center"/>
          </w:tcPr>
          <w:p>
            <w:pPr>
              <w:pStyle w:val="TableContents"/>
              <w:bidi w:val="0"/>
              <w:spacing w:before="0" w:after="0"/>
              <w:ind w:left="0" w:right="0" w:hanging="0"/>
              <w:jc w:val="both"/>
              <w:rPr/>
            </w:pPr>
            <w:r>
              <w:rPr/>
              <w:t>​</w:t>
            </w:r>
          </w:p>
        </w:tc>
        <w:tc>
          <w:tcPr>
            <w:tcW w:w="5887" w:type="dxa"/>
            <w:gridSpan w:val="2"/>
            <w:tcBorders/>
            <w:vAlign w:val="center"/>
          </w:tcPr>
          <w:p>
            <w:pPr>
              <w:pStyle w:val="TableContents"/>
              <w:bidi w:val="0"/>
              <w:spacing w:before="0" w:after="0"/>
              <w:ind w:left="0" w:right="0" w:hanging="0"/>
              <w:jc w:val="left"/>
              <w:rPr/>
            </w:pPr>
            <w:r>
              <w:rPr/>
              <w:t>​</w:t>
            </w:r>
          </w:p>
        </w:tc>
      </w:tr>
      <w:tr>
        <w:trPr/>
        <w:tc>
          <w:tcPr>
            <w:tcW w:w="7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527" w:type="dxa"/>
            <w:gridSpan w:val="2"/>
            <w:tcBorders/>
            <w:vAlign w:val="center"/>
          </w:tcPr>
          <w:p>
            <w:pPr>
              <w:pStyle w:val="TableContents"/>
              <w:bidi w:val="0"/>
              <w:spacing w:before="0" w:after="0"/>
              <w:ind w:left="0" w:right="0" w:hanging="0"/>
              <w:jc w:val="both"/>
              <w:rPr/>
            </w:pPr>
            <w:r>
              <w:rPr/>
              <w:t>​</w:t>
            </w:r>
          </w:p>
        </w:tc>
        <w:tc>
          <w:tcPr>
            <w:tcW w:w="588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91" w:type="dxa"/>
            <w:gridSpan w:val="2"/>
            <w:tcBorders/>
            <w:vAlign w:val="center"/>
          </w:tcPr>
          <w:p>
            <w:pPr>
              <w:pStyle w:val="TableContents"/>
              <w:bidi w:val="0"/>
              <w:spacing w:before="0" w:after="0"/>
              <w:ind w:left="0" w:right="0" w:hanging="0"/>
              <w:jc w:val="left"/>
              <w:rPr/>
            </w:pPr>
            <w:r>
              <w:rPr/>
              <w:t>​</w:t>
            </w:r>
          </w:p>
        </w:tc>
        <w:tc>
          <w:tcPr>
            <w:tcW w:w="3527" w:type="dxa"/>
            <w:gridSpan w:val="2"/>
            <w:tcBorders/>
            <w:vAlign w:val="center"/>
          </w:tcPr>
          <w:p>
            <w:pPr>
              <w:pStyle w:val="TableContents"/>
              <w:bidi w:val="0"/>
              <w:spacing w:before="0" w:after="0"/>
              <w:ind w:left="0" w:right="0" w:hanging="0"/>
              <w:jc w:val="both"/>
              <w:rPr/>
            </w:pPr>
            <w:r>
              <w:rPr/>
              <w:t>​</w:t>
            </w:r>
          </w:p>
        </w:tc>
        <w:tc>
          <w:tcPr>
            <w:tcW w:w="5887" w:type="dxa"/>
            <w:gridSpan w:val="2"/>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006" w:type="dxa"/>
        <w:jc w:val="left"/>
        <w:tblInd w:w="0" w:type="dxa"/>
        <w:tblLayout w:type="fixed"/>
        <w:tblCellMar>
          <w:top w:w="0" w:type="dxa"/>
          <w:left w:w="0" w:type="dxa"/>
          <w:bottom w:w="0" w:type="dxa"/>
          <w:right w:w="0" w:type="dxa"/>
        </w:tblCellMar>
      </w:tblPr>
      <w:tblGrid>
        <w:gridCol w:w="871"/>
        <w:gridCol w:w="109"/>
        <w:gridCol w:w="8026"/>
      </w:tblGrid>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both"/>
              <w:rPr/>
            </w:pPr>
            <w:r>
              <w:rPr/>
              <w:t>​</w:t>
            </w:r>
          </w:p>
        </w:tc>
        <w:tc>
          <w:tcPr>
            <w:tcW w:w="8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8026"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both"/>
              <w:rPr/>
            </w:pPr>
            <w:r>
              <w:rPr/>
              <w:t>​</w:t>
            </w:r>
          </w:p>
        </w:tc>
        <w:tc>
          <w:tcPr>
            <w:tcW w:w="8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8026"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both"/>
              <w:rPr/>
            </w:pPr>
            <w:r>
              <w:rPr/>
              <w:t>​</w:t>
            </w:r>
          </w:p>
        </w:tc>
        <w:tc>
          <w:tcPr>
            <w:tcW w:w="8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8026"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both"/>
              <w:rPr/>
            </w:pPr>
            <w:r>
              <w:rPr/>
              <w:t>​</w:t>
            </w:r>
          </w:p>
        </w:tc>
        <w:tc>
          <w:tcPr>
            <w:tcW w:w="8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Cover Page Interactive Data File (formatted as Inline XBRL with applicable taxonomy extension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information contained in Exhibits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Indicates a management contract or compensatory plan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924" w:name="SIGNATURES_157945"/>
      <w:bookmarkStart w:id="925" w:name="_9f44537c_788e_4fa8_b4a4_d42b3e638278"/>
      <w:bookmarkEnd w:id="924"/>
      <w:bookmarkEnd w:id="925"/>
      <w:r>
        <w:rPr>
          <w:rFonts w:ascii="Times New Roman;Times;serif" w:hAnsi="Times New Roman;Times;serif"/>
          <w:b/>
          <w:sz w:val="20"/>
        </w:rPr>
        <w:t>SIGNATURES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6453" w:type="dxa"/>
        <w:jc w:val="left"/>
        <w:tblInd w:w="0" w:type="dxa"/>
        <w:tblLayout w:type="fixed"/>
        <w:tblCellMar>
          <w:top w:w="0" w:type="dxa"/>
          <w:left w:w="0" w:type="dxa"/>
          <w:bottom w:w="0" w:type="dxa"/>
          <w:right w:w="0" w:type="dxa"/>
        </w:tblCellMar>
      </w:tblPr>
      <w:tblGrid>
        <w:gridCol w:w="1951"/>
        <w:gridCol w:w="406"/>
        <w:gridCol w:w="409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238885" cy="29210"/>
                      <wp:effectExtent l="0" t="0" r="0" b="0"/>
                      <wp:wrapNone/>
                      <wp:docPr id="225" name="Frame225"/>
                      <a:graphic xmlns:a="http://schemas.openxmlformats.org/drawingml/2006/main">
                        <a:graphicData uri="http://schemas.microsoft.com/office/word/2010/wordprocessingShape">
                          <wps:wsp>
                            <wps:cNvSpPr txBox="1"/>
                            <wps:spPr>
                              <a:xfrm>
                                <a:off x="0" y="0"/>
                                <a:ext cx="12388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57810" cy="29210"/>
                      <wp:effectExtent l="0" t="0" r="0" b="0"/>
                      <wp:wrapNone/>
                      <wp:docPr id="226" name="Frame226"/>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600960" cy="29210"/>
                      <wp:effectExtent l="0" t="0" r="0" b="0"/>
                      <wp:wrapNone/>
                      <wp:docPr id="227" name="Frame227"/>
                      <a:graphic xmlns:a="http://schemas.openxmlformats.org/drawingml/2006/main">
                        <a:graphicData uri="http://schemas.microsoft.com/office/word/2010/wordprocessingShape">
                          <wps:wsp>
                            <wps:cNvSpPr txBox="1"/>
                            <wps:spPr>
                              <a:xfrm>
                                <a:off x="0" y="0"/>
                                <a:ext cx="2600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 </w:t>
            </w:r>
          </w:p>
        </w:tc>
        <w:tc>
          <w:tcPr>
            <w:tcW w:w="450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Fennec Pharmaceuticals Inc.</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0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Jeff Hackman</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 Hackman</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0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Robert Andrade</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Andrade</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chief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0"/>
        <w:ind w:left="0" w:right="0" w:hanging="0"/>
        <w:jc w:val="right"/>
        <w:rPr>
          <w:rFonts w:ascii="Times New Roman;Times;serif" w:hAnsi="Times New Roman;Times;serif"/>
          <w:b/>
          <w:sz w:val="20"/>
        </w:rPr>
      </w:pPr>
      <w:bookmarkStart w:id="926" w:name="fencf-20260630xex31d1.htm"/>
      <w:bookmarkStart w:id="927" w:name="ksfencf20260630xex31d1"/>
      <w:bookmarkEnd w:id="926"/>
      <w:bookmarkEnd w:id="927"/>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FENNEC PHARMACEUTICALS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Jeffrey Hackman, certify that:</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161"/>
        <w:gridCol w:w="224"/>
        <w:gridCol w:w="23"/>
        <w:gridCol w:w="288"/>
        <w:gridCol w:w="9509"/>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24" w:type="dxa"/>
            <w:tcBorders/>
            <w:vAlign w:val="center"/>
          </w:tcPr>
          <w:p>
            <w:pPr>
              <w:pStyle w:val="TableContents"/>
              <w:bidi w:val="0"/>
              <w:spacing w:before="0" w:after="283"/>
              <w:ind w:left="0" w:right="0" w:hanging="0"/>
              <w:jc w:val="left"/>
              <w:rPr>
                <w:sz w:val="4"/>
                <w:szCs w:val="4"/>
              </w:rPr>
            </w:pPr>
            <w:r>
              <w:rPr>
                <w:sz w:val="4"/>
                <w:szCs w:val="4"/>
              </w:rPr>
            </w:r>
          </w:p>
        </w:tc>
        <w:tc>
          <w:tcPr>
            <w:tcW w:w="9820"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820" w:type="dxa"/>
            <w:gridSpan w:val="3"/>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for the period ended June 30, 2026 of Fennec Pharmaceuticals Inc.;</w:t>
            </w:r>
          </w:p>
        </w:tc>
      </w:tr>
      <w:tr>
        <w:trPr/>
        <w:tc>
          <w:tcPr>
            <w:tcW w:w="161"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82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61"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82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unaudited interim condensed consolidated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61"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982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408" w:type="dxa"/>
            <w:gridSpan w:val="3"/>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5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condensed subsidiaries, is made known to us by others within those entities, particularly during the period in which this report is being prepared;</w:t>
            </w:r>
          </w:p>
        </w:tc>
      </w:tr>
      <w:tr>
        <w:trPr/>
        <w:tc>
          <w:tcPr>
            <w:tcW w:w="408" w:type="dxa"/>
            <w:gridSpan w:val="3"/>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5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408" w:type="dxa"/>
            <w:gridSpan w:val="3"/>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5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408" w:type="dxa"/>
            <w:gridSpan w:val="3"/>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5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161"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982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408" w:type="dxa"/>
            <w:gridSpan w:val="3"/>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5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408" w:type="dxa"/>
            <w:gridSpan w:val="3"/>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5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638" w:type="dxa"/>
        <w:jc w:val="left"/>
        <w:tblInd w:w="0" w:type="dxa"/>
        <w:tblLayout w:type="fixed"/>
        <w:tblCellMar>
          <w:top w:w="0" w:type="dxa"/>
          <w:left w:w="0" w:type="dxa"/>
          <w:bottom w:w="0" w:type="dxa"/>
          <w:right w:w="0" w:type="dxa"/>
        </w:tblCellMar>
      </w:tblPr>
      <w:tblGrid>
        <w:gridCol w:w="161"/>
        <w:gridCol w:w="406"/>
        <w:gridCol w:w="2071"/>
      </w:tblGrid>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7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Hackman</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Hackman</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928" w:name="fencf-20260630xex31d2.htm"/>
      <w:bookmarkStart w:id="929" w:name="ksfencf20260630xex31d2"/>
      <w:bookmarkEnd w:id="928"/>
      <w:bookmarkEnd w:id="929"/>
      <w:r>
        <w:rPr>
          <w:rFonts w:ascii="Times New Roman;Times;serif" w:hAnsi="Times New Roman;Times;serif"/>
          <w:b/>
          <w:sz w:val="20"/>
        </w:rPr>
        <w:t>Exhibit 31.2</w:t>
      </w:r>
      <w:r>
        <w:br w:type="page"/>
      </w:r>
    </w:p>
    <w:p>
      <w:pPr>
        <w:pStyle w:val="TextBody"/>
        <w:bidi w:val="0"/>
        <w:spacing w:lineRule="auto" w:line="285" w:before="100" w:after="100"/>
        <w:ind w:left="0" w:right="0" w:hanging="0"/>
        <w:jc w:val="both"/>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FENNEC PHARMACEUTICALS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Robert Andrade, certify that:</w:t>
      </w:r>
    </w:p>
    <w:p>
      <w:pPr>
        <w:pStyle w:val="TextBody"/>
        <w:bidi w:val="0"/>
        <w:spacing w:lineRule="auto" w:line="285" w:before="100" w:after="1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6"/>
        <w:gridCol w:w="224"/>
        <w:gridCol w:w="23"/>
        <w:gridCol w:w="288"/>
        <w:gridCol w:w="9444"/>
      </w:tblGrid>
      <w:tr>
        <w:trPr/>
        <w:tc>
          <w:tcPr>
            <w:tcW w:w="226" w:type="dxa"/>
            <w:tcBorders/>
            <w:vAlign w:val="center"/>
          </w:tcPr>
          <w:p>
            <w:pPr>
              <w:pStyle w:val="TableContents"/>
              <w:bidi w:val="0"/>
              <w:spacing w:lineRule="auto" w:line="307" w:before="0" w:after="160"/>
              <w:ind w:left="0" w:right="0" w:hanging="0"/>
              <w:jc w:val="left"/>
              <w:rPr>
                <w:rFonts w:ascii="Times New Roman;Times;serif" w:hAnsi="Times New Roman;Times;serif"/>
                <w:sz w:val="20"/>
              </w:rPr>
            </w:pPr>
            <w:r>
              <w:rPr>
                <w:rFonts w:ascii="Times New Roman;Times;serif" w:hAnsi="Times New Roman;Times;serif"/>
                <w:sz w:val="20"/>
              </w:rPr>
              <w:t>0</w:t>
            </w:r>
          </w:p>
        </w:tc>
        <w:tc>
          <w:tcPr>
            <w:tcW w:w="224" w:type="dxa"/>
            <w:tcBorders/>
            <w:vAlign w:val="center"/>
          </w:tcPr>
          <w:p>
            <w:pPr>
              <w:pStyle w:val="TableContents"/>
              <w:bidi w:val="0"/>
              <w:spacing w:before="0" w:after="283"/>
              <w:ind w:left="0" w:right="0" w:hanging="0"/>
              <w:jc w:val="left"/>
              <w:rPr>
                <w:sz w:val="4"/>
                <w:szCs w:val="4"/>
              </w:rPr>
            </w:pPr>
            <w:r>
              <w:rPr>
                <w:sz w:val="4"/>
                <w:szCs w:val="4"/>
              </w:rPr>
            </w:r>
          </w:p>
        </w:tc>
        <w:tc>
          <w:tcPr>
            <w:tcW w:w="9755"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226" w:type="dxa"/>
            <w:tcBorders/>
            <w:vAlign w:val="center"/>
          </w:tcPr>
          <w:p>
            <w:pPr>
              <w:pStyle w:val="TableContents"/>
              <w:bidi w:val="0"/>
              <w:spacing w:lineRule="auto" w:line="307" w:before="0" w:after="0"/>
              <w:ind w:left="0" w:right="0" w:hanging="0"/>
              <w:jc w:val="left"/>
              <w:rPr/>
            </w:pPr>
            <w:r>
              <w:rPr/>
              <w:t> </w:t>
            </w:r>
          </w:p>
        </w:tc>
        <w:tc>
          <w:tcPr>
            <w:tcW w:w="22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755" w:type="dxa"/>
            <w:gridSpan w:val="3"/>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for the period ended June 30, 2026, of Fennec Pharmaceuticals Inc.;</w:t>
            </w:r>
          </w:p>
        </w:tc>
      </w:tr>
      <w:tr>
        <w:trPr/>
        <w:tc>
          <w:tcPr>
            <w:tcW w:w="226" w:type="dxa"/>
            <w:tcBorders/>
            <w:vAlign w:val="center"/>
          </w:tcPr>
          <w:p>
            <w:pPr>
              <w:pStyle w:val="TableContents"/>
              <w:bidi w:val="0"/>
              <w:spacing w:lineRule="auto" w:line="307" w:before="0" w:after="0"/>
              <w:ind w:left="0" w:right="0" w:hanging="0"/>
              <w:jc w:val="left"/>
              <w:rPr/>
            </w:pPr>
            <w:r>
              <w:rPr/>
              <w:t> </w:t>
            </w:r>
          </w:p>
        </w:tc>
        <w:tc>
          <w:tcPr>
            <w:tcW w:w="22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755" w:type="dxa"/>
            <w:gridSpan w:val="3"/>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26" w:type="dxa"/>
            <w:tcBorders/>
            <w:vAlign w:val="center"/>
          </w:tcPr>
          <w:p>
            <w:pPr>
              <w:pStyle w:val="TableContents"/>
              <w:bidi w:val="0"/>
              <w:spacing w:lineRule="auto" w:line="307" w:before="0" w:after="0"/>
              <w:ind w:left="0" w:right="0" w:hanging="0"/>
              <w:jc w:val="left"/>
              <w:rPr/>
            </w:pPr>
            <w:r>
              <w:rPr/>
              <w:t> </w:t>
            </w:r>
          </w:p>
        </w:tc>
        <w:tc>
          <w:tcPr>
            <w:tcW w:w="22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755" w:type="dxa"/>
            <w:gridSpan w:val="3"/>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unaudited interim condensed consolidated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26" w:type="dxa"/>
            <w:tcBorders/>
            <w:vAlign w:val="center"/>
          </w:tcPr>
          <w:p>
            <w:pPr>
              <w:pStyle w:val="TableContents"/>
              <w:bidi w:val="0"/>
              <w:spacing w:lineRule="auto" w:line="307" w:before="0" w:after="0"/>
              <w:ind w:left="0" w:right="0" w:hanging="0"/>
              <w:jc w:val="left"/>
              <w:rPr/>
            </w:pPr>
            <w:r>
              <w:rPr/>
              <w:t> </w:t>
            </w:r>
          </w:p>
        </w:tc>
        <w:tc>
          <w:tcPr>
            <w:tcW w:w="22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9755" w:type="dxa"/>
            <w:gridSpan w:val="3"/>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473" w:type="dxa"/>
            <w:gridSpan w:val="3"/>
            <w:tcBorders/>
            <w:vAlign w:val="center"/>
          </w:tcPr>
          <w:p>
            <w:pPr>
              <w:pStyle w:val="TableContents"/>
              <w:bidi w:val="0"/>
              <w:spacing w:lineRule="auto" w:line="307" w:before="0" w:after="0"/>
              <w:ind w:left="0" w:right="0" w:hanging="0"/>
              <w:jc w:val="left"/>
              <w:rPr/>
            </w:pPr>
            <w:r>
              <w:rPr/>
              <w:t> </w:t>
            </w:r>
          </w:p>
        </w:tc>
        <w:tc>
          <w:tcPr>
            <w:tcW w:w="288"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44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condensed subsidiaries, is made known to us by others within those entities, particularly during the period in which this report is being prepared;</w:t>
            </w:r>
          </w:p>
        </w:tc>
      </w:tr>
      <w:tr>
        <w:trPr/>
        <w:tc>
          <w:tcPr>
            <w:tcW w:w="473" w:type="dxa"/>
            <w:gridSpan w:val="3"/>
            <w:tcBorders/>
            <w:vAlign w:val="center"/>
          </w:tcPr>
          <w:p>
            <w:pPr>
              <w:pStyle w:val="TableContents"/>
              <w:bidi w:val="0"/>
              <w:spacing w:lineRule="auto" w:line="307" w:before="0" w:after="0"/>
              <w:ind w:left="0" w:right="0" w:hanging="0"/>
              <w:jc w:val="left"/>
              <w:rPr/>
            </w:pPr>
            <w:r>
              <w:rPr/>
              <w:t> </w:t>
            </w:r>
          </w:p>
        </w:tc>
        <w:tc>
          <w:tcPr>
            <w:tcW w:w="288"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44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473" w:type="dxa"/>
            <w:gridSpan w:val="3"/>
            <w:tcBorders/>
            <w:vAlign w:val="center"/>
          </w:tcPr>
          <w:p>
            <w:pPr>
              <w:pStyle w:val="TableContents"/>
              <w:bidi w:val="0"/>
              <w:spacing w:lineRule="auto" w:line="307" w:before="0" w:after="0"/>
              <w:ind w:left="0" w:right="0" w:hanging="0"/>
              <w:jc w:val="left"/>
              <w:rPr/>
            </w:pPr>
            <w:r>
              <w:rPr/>
              <w:t> </w:t>
            </w:r>
          </w:p>
        </w:tc>
        <w:tc>
          <w:tcPr>
            <w:tcW w:w="288"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44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473" w:type="dxa"/>
            <w:gridSpan w:val="3"/>
            <w:tcBorders/>
            <w:vAlign w:val="center"/>
          </w:tcPr>
          <w:p>
            <w:pPr>
              <w:pStyle w:val="TableContents"/>
              <w:bidi w:val="0"/>
              <w:spacing w:lineRule="auto" w:line="307" w:before="0" w:after="0"/>
              <w:ind w:left="0" w:right="0" w:hanging="0"/>
              <w:jc w:val="left"/>
              <w:rPr/>
            </w:pPr>
            <w:r>
              <w:rPr/>
              <w:t> </w:t>
            </w:r>
          </w:p>
        </w:tc>
        <w:tc>
          <w:tcPr>
            <w:tcW w:w="288"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44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226" w:type="dxa"/>
            <w:tcBorders/>
            <w:vAlign w:val="center"/>
          </w:tcPr>
          <w:p>
            <w:pPr>
              <w:pStyle w:val="TableContents"/>
              <w:bidi w:val="0"/>
              <w:spacing w:lineRule="auto" w:line="307" w:before="0" w:after="0"/>
              <w:ind w:left="0" w:right="0" w:hanging="0"/>
              <w:jc w:val="left"/>
              <w:rPr/>
            </w:pPr>
            <w:r>
              <w:rPr/>
              <w:t> </w:t>
            </w:r>
          </w:p>
        </w:tc>
        <w:tc>
          <w:tcPr>
            <w:tcW w:w="22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9755" w:type="dxa"/>
            <w:gridSpan w:val="3"/>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473" w:type="dxa"/>
            <w:gridSpan w:val="3"/>
            <w:tcBorders/>
            <w:vAlign w:val="center"/>
          </w:tcPr>
          <w:p>
            <w:pPr>
              <w:pStyle w:val="TableContents"/>
              <w:bidi w:val="0"/>
              <w:spacing w:lineRule="auto" w:line="307" w:before="0" w:after="0"/>
              <w:ind w:left="0" w:right="0" w:hanging="0"/>
              <w:jc w:val="left"/>
              <w:rPr/>
            </w:pPr>
            <w:r>
              <w:rPr/>
              <w:t> </w:t>
            </w:r>
          </w:p>
        </w:tc>
        <w:tc>
          <w:tcPr>
            <w:tcW w:w="288"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44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473" w:type="dxa"/>
            <w:gridSpan w:val="3"/>
            <w:tcBorders/>
            <w:vAlign w:val="center"/>
          </w:tcPr>
          <w:p>
            <w:pPr>
              <w:pStyle w:val="TableContents"/>
              <w:bidi w:val="0"/>
              <w:spacing w:lineRule="auto" w:line="307" w:before="0" w:after="0"/>
              <w:ind w:left="0" w:right="0" w:hanging="0"/>
              <w:jc w:val="left"/>
              <w:rPr/>
            </w:pPr>
            <w:r>
              <w:rPr/>
              <w:t> </w:t>
            </w:r>
          </w:p>
        </w:tc>
        <w:tc>
          <w:tcPr>
            <w:tcW w:w="288"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44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307" w:before="0" w:after="160"/>
        <w:ind w:left="0" w:right="0" w:hanging="0"/>
        <w:jc w:val="left"/>
        <w:rPr/>
      </w:pPr>
      <w:r>
        <w:rPr/>
        <w:t>​</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p>
      <w:pPr>
        <w:pStyle w:val="TextBody"/>
        <w:bidi w:val="0"/>
        <w:spacing w:lineRule="auto" w:line="285" w:before="100" w:after="100"/>
        <w:ind w:left="0" w:right="0" w:hanging="0"/>
        <w:jc w:val="left"/>
        <w:rPr/>
      </w:pPr>
      <w:r>
        <w:rPr/>
        <w:t>​</w:t>
      </w:r>
    </w:p>
    <w:tbl>
      <w:tblPr>
        <w:tblW w:w="2578" w:type="dxa"/>
        <w:jc w:val="left"/>
        <w:tblInd w:w="0" w:type="dxa"/>
        <w:tblLayout w:type="fixed"/>
        <w:tblCellMar>
          <w:top w:w="0" w:type="dxa"/>
          <w:left w:w="0" w:type="dxa"/>
          <w:bottom w:w="0" w:type="dxa"/>
          <w:right w:w="0" w:type="dxa"/>
        </w:tblCellMar>
      </w:tblPr>
      <w:tblGrid>
        <w:gridCol w:w="161"/>
        <w:gridCol w:w="406"/>
        <w:gridCol w:w="2011"/>
      </w:tblGrid>
      <w:tr>
        <w:trPr/>
        <w:tc>
          <w:tcPr>
            <w:tcW w:w="161" w:type="dxa"/>
            <w:tcBorders/>
            <w:vAlign w:val="center"/>
          </w:tcPr>
          <w:p>
            <w:pPr>
              <w:pStyle w:val="TableContents"/>
              <w:bidi w:val="0"/>
              <w:spacing w:lineRule="auto" w:line="307" w:before="0" w:after="0"/>
              <w:ind w:left="0" w:right="0" w:hanging="0"/>
              <w:jc w:val="left"/>
              <w:rPr/>
            </w:pPr>
            <w:r>
              <w:rPr/>
              <w:t> </w:t>
            </w:r>
          </w:p>
        </w:tc>
        <w:tc>
          <w:tcPr>
            <w:tcW w:w="406"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bottom w:val="single" w:sz="8" w:space="0" w:color="000000"/>
            </w:tcBorders>
            <w:tcMar>
              <w:bottom w:w="28" w:type="dxa"/>
            </w:tcMar>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/s/ Robert Andrade</w:t>
            </w:r>
          </w:p>
        </w:tc>
      </w:tr>
      <w:tr>
        <w:trPr/>
        <w:tc>
          <w:tcPr>
            <w:tcW w:w="161" w:type="dxa"/>
            <w:tcBorders/>
            <w:vAlign w:val="center"/>
          </w:tcPr>
          <w:p>
            <w:pPr>
              <w:pStyle w:val="TableContents"/>
              <w:bidi w:val="0"/>
              <w:spacing w:lineRule="auto" w:line="307" w:before="0" w:after="0"/>
              <w:ind w:left="0" w:right="0" w:hanging="0"/>
              <w:jc w:val="left"/>
              <w:rPr/>
            </w:pPr>
            <w:r>
              <w:rPr/>
              <w:t> </w:t>
            </w:r>
          </w:p>
        </w:tc>
        <w:tc>
          <w:tcPr>
            <w:tcW w:w="406" w:type="dxa"/>
            <w:tcBorders/>
            <w:vAlign w:val="center"/>
          </w:tcPr>
          <w:p>
            <w:pPr>
              <w:pStyle w:val="TableContents"/>
              <w:bidi w:val="0"/>
              <w:spacing w:lineRule="auto" w:line="307" w:before="0" w:after="0"/>
              <w:ind w:left="0" w:right="0" w:hanging="0"/>
              <w:jc w:val="left"/>
              <w:rPr/>
            </w:pPr>
            <w:r>
              <w:rPr/>
              <w:t> </w:t>
            </w:r>
          </w:p>
        </w:tc>
        <w:tc>
          <w:tcPr>
            <w:tcW w:w="2011"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Robert Andrade</w:t>
            </w:r>
          </w:p>
        </w:tc>
      </w:tr>
      <w:tr>
        <w:trPr/>
        <w:tc>
          <w:tcPr>
            <w:tcW w:w="161" w:type="dxa"/>
            <w:tcBorders/>
            <w:vAlign w:val="center"/>
          </w:tcPr>
          <w:p>
            <w:pPr>
              <w:pStyle w:val="TableContents"/>
              <w:bidi w:val="0"/>
              <w:spacing w:lineRule="auto" w:line="307" w:before="0" w:after="0"/>
              <w:ind w:left="0" w:right="0" w:hanging="0"/>
              <w:jc w:val="left"/>
              <w:rPr/>
            </w:pPr>
            <w:r>
              <w:rPr/>
              <w:t> </w:t>
            </w:r>
          </w:p>
        </w:tc>
        <w:tc>
          <w:tcPr>
            <w:tcW w:w="406" w:type="dxa"/>
            <w:tcBorders/>
            <w:vAlign w:val="center"/>
          </w:tcPr>
          <w:p>
            <w:pPr>
              <w:pStyle w:val="TableContents"/>
              <w:bidi w:val="0"/>
              <w:spacing w:lineRule="auto" w:line="307" w:before="0" w:after="0"/>
              <w:ind w:left="0" w:right="0" w:hanging="0"/>
              <w:jc w:val="left"/>
              <w:rPr/>
            </w:pPr>
            <w:r>
              <w:rPr/>
              <w:t> </w:t>
            </w:r>
          </w:p>
        </w:tc>
        <w:tc>
          <w:tcPr>
            <w:tcW w:w="2011"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930" w:name="fencf-20260630xex32d1.htm"/>
      <w:bookmarkStart w:id="931" w:name="ksfencf20260630xex32d1"/>
      <w:bookmarkEnd w:id="930"/>
      <w:bookmarkEnd w:id="931"/>
      <w:r>
        <w:rPr>
          <w:rFonts w:ascii="Times New Roman;Times;serif" w:hAnsi="Times New Roman;Times;serif"/>
          <w:b/>
          <w:sz w:val="20"/>
        </w:rPr>
        <w:t>Exhibit 32.1</w:t>
      </w:r>
      <w:r>
        <w:br w:type="page"/>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Fennec Pharmaceuticals Inc. (the “</w:t>
      </w:r>
      <w:r>
        <w:rPr>
          <w:rFonts w:ascii="Times New Roman;Times;serif" w:hAnsi="Times New Roman;Times;serif"/>
          <w:sz w:val="20"/>
          <w:u w:val="single"/>
        </w:rPr>
        <w:t>Company</w:t>
      </w:r>
      <w:r>
        <w:rPr>
          <w:rFonts w:ascii="Times New Roman;Times;serif" w:hAnsi="Times New Roman;Times;serif"/>
          <w:sz w:val="20"/>
        </w:rPr>
        <w:t>”) on Form 10-Q for the period ended June 30, 2026 (the “</w:t>
      </w:r>
      <w:r>
        <w:rPr>
          <w:rFonts w:ascii="Times New Roman;Times;serif" w:hAnsi="Times New Roman;Times;serif"/>
          <w:sz w:val="20"/>
          <w:u w:val="single"/>
        </w:rPr>
        <w:t>Report</w:t>
      </w:r>
      <w:r>
        <w:rPr>
          <w:rFonts w:ascii="Times New Roman;Times;serif" w:hAnsi="Times New Roman;Times;serif"/>
          <w:sz w:val="20"/>
        </w:rPr>
        <w:t>”), each of the undersigned, Jeffrey Hackman, Chief Executive Officer of the Company, and Robert Andrade, Chief Financial Officer of the Company, hereby certifies pursuant to 18 U.S.C. §1350, as adopted pursuant to Section 906 of the Sarbanes-Oxley Act of 2002, that: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1"/>
        <w:gridCol w:w="247"/>
        <w:gridCol w:w="9797"/>
      </w:tblGrid>
      <w:tr>
        <w:trPr/>
        <w:tc>
          <w:tcPr>
            <w:tcW w:w="161"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7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r>
        <w:trPr/>
        <w:tc>
          <w:tcPr>
            <w:tcW w:w="161"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7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638" w:type="dxa"/>
        <w:jc w:val="center"/>
        <w:tblInd w:w="0" w:type="dxa"/>
        <w:tblLayout w:type="fixed"/>
        <w:tblCellMar>
          <w:top w:w="0" w:type="dxa"/>
          <w:left w:w="0" w:type="dxa"/>
          <w:bottom w:w="0" w:type="dxa"/>
          <w:right w:w="0" w:type="dxa"/>
        </w:tblCellMar>
      </w:tblPr>
      <w:tblGrid>
        <w:gridCol w:w="161"/>
        <w:gridCol w:w="406"/>
        <w:gridCol w:w="2071"/>
      </w:tblGrid>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7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Hackman</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Hackman</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578" w:type="dxa"/>
        <w:jc w:val="center"/>
        <w:tblInd w:w="0" w:type="dxa"/>
        <w:tblLayout w:type="fixed"/>
        <w:tblCellMar>
          <w:top w:w="0" w:type="dxa"/>
          <w:left w:w="0" w:type="dxa"/>
          <w:bottom w:w="0" w:type="dxa"/>
          <w:right w:w="0" w:type="dxa"/>
        </w:tblCellMar>
      </w:tblPr>
      <w:tblGrid>
        <w:gridCol w:w="161"/>
        <w:gridCol w:w="406"/>
        <w:gridCol w:w="2011"/>
      </w:tblGrid>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Andrade</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Andrade</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932" w:name="fencf-20260630xex99d1.htm"/>
      <w:bookmarkStart w:id="933" w:name="ksfencf20260630xex99d1"/>
      <w:bookmarkEnd w:id="932"/>
      <w:bookmarkEnd w:id="933"/>
      <w:r>
        <w:rPr>
          <w:rFonts w:ascii="Times New Roman;Times;serif" w:hAnsi="Times New Roman;Times;serif"/>
          <w:b/>
          <w:sz w:val="20"/>
        </w:rPr>
        <w:t>Exhibit 99.1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pPr>
      <w:r>
        <w:rPr/>
        <w:drawing>
          <wp:inline distT="0" distB="0" distL="0" distR="0">
            <wp:extent cx="1386840" cy="662940"/>
            <wp:effectExtent l="0" t="0" r="0" b="0"/>
            <wp:docPr id="22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 descr=""/>
                    <pic:cNvPicPr>
                      <a:picLocks noChangeAspect="1" noChangeArrowheads="1"/>
                    </pic:cNvPicPr>
                  </pic:nvPicPr>
                  <pic:blipFill>
                    <a:blip r:embed="rId3"/>
                    <a:stretch>
                      <a:fillRect/>
                    </a:stretch>
                  </pic:blipFill>
                  <pic:spPr bwMode="auto">
                    <a:xfrm>
                      <a:off x="0" y="0"/>
                      <a:ext cx="1386840" cy="662940"/>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caps/>
          <w:sz w:val="28"/>
        </w:rPr>
      </w:pPr>
      <w:r>
        <w:rPr>
          <w:rFonts w:ascii="Times New Roman;Times;serif" w:hAnsi="Times New Roman;Times;serif"/>
          <w:b/>
          <w:caps/>
          <w:sz w:val="28"/>
        </w:rPr>
        <w:t>FENNEC PHARMACEUTICALS REPORTS SECOND Quarter 2026 Financial Results and Provides Business Update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4"/>
        </w:rPr>
      </w:pPr>
      <w:r>
        <w:rPr>
          <w:rFonts w:ascii="Times New Roman;Times;serif" w:hAnsi="Times New Roman;Times;serif"/>
          <w:i/>
          <w:sz w:val="24"/>
        </w:rPr>
        <w:t xml:space="preserve">~ 2026 Second Quarter Net Product Sales of $17.1 Million, Up 78% Year over Year ~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i/>
          <w:sz w:val="24"/>
        </w:rPr>
      </w:pPr>
      <w:r>
        <w:rPr>
          <w:rFonts w:ascii="Times New Roman;Times;serif" w:hAnsi="Times New Roman;Times;serif"/>
          <w:i/>
          <w:sz w:val="24"/>
        </w:rPr>
        <w:t xml:space="preserve">~ 2026 Second Quarter Non-GAAP Adjusted EBITDA of $2.8 Million ~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4"/>
        </w:rPr>
        <w:t>~ Record PEDMARK</w:t>
      </w:r>
      <w:r>
        <w:rPr>
          <w:rFonts w:ascii="Times New Roman;Times;serif" w:hAnsi="Times New Roman;Times;serif"/>
          <w:i/>
          <w:sz w:val="18"/>
        </w:rPr>
        <w:t>®</w:t>
      </w:r>
      <w:r>
        <w:rPr>
          <w:rFonts w:ascii="Times New Roman;Times;serif" w:hAnsi="Times New Roman;Times;serif"/>
          <w:sz w:val="20"/>
        </w:rPr>
        <w:t xml:space="preserve"> </w:t>
      </w:r>
      <w:r>
        <w:rPr>
          <w:rFonts w:ascii="Times New Roman;Times;serif" w:hAnsi="Times New Roman;Times;serif"/>
          <w:i/>
          <w:sz w:val="24"/>
        </w:rPr>
        <w:t>Demand Carried into Third Quarter 2026 as Field Sales Expansion Efforts Continue to Validate Commercial Growth Strategy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4"/>
        </w:rPr>
        <w:t>~ Real-World Evidence Presented at ASCO 2026 Reinforced that PEDMARK</w:t>
      </w:r>
      <w:r>
        <w:rPr>
          <w:rFonts w:ascii="Times New Roman;Times;serif" w:hAnsi="Times New Roman;Times;serif"/>
          <w:i/>
          <w:sz w:val="18"/>
        </w:rPr>
        <w:t>®</w:t>
      </w:r>
      <w:r>
        <w:rPr>
          <w:rFonts w:ascii="Times New Roman;Times;serif" w:hAnsi="Times New Roman;Times;serif"/>
          <w:sz w:val="20"/>
        </w:rPr>
        <w:t> </w:t>
      </w:r>
      <w:r>
        <w:rPr>
          <w:rFonts w:ascii="Times New Roman;Times;serif" w:hAnsi="Times New Roman;Times;serif"/>
          <w:i/>
          <w:sz w:val="24"/>
        </w:rPr>
        <w:t>Can Be Easily Integrated into Patient Care and Does Not Compromise Cisplatin’s Established Antitumor Activity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i/>
          <w:sz w:val="24"/>
        </w:rPr>
      </w:pPr>
      <w:r>
        <w:rPr>
          <w:rFonts w:ascii="Times New Roman;Times;serif" w:hAnsi="Times New Roman;Times;serif"/>
          <w:i/>
          <w:sz w:val="24"/>
        </w:rPr>
        <w:t>~ Management to Host Conference Call Today at 8:30 a.m. ET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4"/>
        </w:rPr>
        <w:t>Research Triangle Park, NC, August 11, 2026 </w:t>
      </w:r>
      <w:r>
        <w:rPr>
          <w:rFonts w:ascii="Times New Roman;Times;serif" w:hAnsi="Times New Roman;Times;serif"/>
          <w:sz w:val="20"/>
        </w:rPr>
        <w:t>– </w:t>
      </w:r>
      <w:r>
        <w:rPr>
          <w:rFonts w:ascii="Times New Roman;Times;serif" w:hAnsi="Times New Roman;Times;serif"/>
          <w:sz w:val="24"/>
        </w:rPr>
        <w:t>Fennec Pharmaceuticals Inc. (NASDAQ:FENC; TSX: FRX), a specialty pharmaceutical company, today reported its financial results for the second quarter ended June 30, 2026 and provided a business update.</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r>
        <w:rPr>
          <w:rFonts w:ascii="Times New Roman;Times;serif" w:hAnsi="Times New Roman;Times;serif"/>
          <w:sz w:val="24"/>
        </w:rPr>
        <w:t>Our second quarter reflects another period of strong execution across the business, highlighted by our seventh consecutive quarter of growth. We continue to build momentum by investing in the evidence that will shape the future of PEDMARK</w:t>
      </w:r>
      <w:r>
        <w:rPr>
          <w:rFonts w:ascii="Times New Roman;Times;serif" w:hAnsi="Times New Roman;Times;serif"/>
          <w:sz w:val="18"/>
        </w:rPr>
        <w:t>®</w:t>
      </w:r>
      <w:r>
        <w:rPr>
          <w:rFonts w:ascii="Times New Roman;Times;serif" w:hAnsi="Times New Roman;Times;serif"/>
          <w:sz w:val="20"/>
        </w:rPr>
        <w:t xml:space="preserve"> </w:t>
      </w:r>
      <w:r>
        <w:rPr>
          <w:rFonts w:ascii="Times New Roman;Times;serif" w:hAnsi="Times New Roman;Times;serif"/>
          <w:sz w:val="24"/>
        </w:rPr>
        <w:t>(sodium thiosulfate), with important data presented at ASCO and a growing pipeline of investigator-sponsored studies that we believe will further expand our understanding of its potential,” said Jeff Hackman, chief executive officer of Fennec Pharmaceuticals. “As evidenced in our record EBITDA generation in the second quarter, we have a highly effective business model that is primed to optimize our anticipated growth while advancing our mission to improve outcomes for patients.”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 xml:space="preserve">Business Highlights: </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Continued Commercial Momentum Within Key PEDMARK</w:t>
            </w:r>
            <w:r>
              <w:rPr>
                <w:rFonts w:ascii="Times New Roman;Times;serif" w:hAnsi="Times New Roman;Times;serif"/>
                <w:b/>
                <w:i w:val="false"/>
                <w:caps w:val="false"/>
                <w:smallCaps w:val="false"/>
                <w:sz w:val="18"/>
              </w:rPr>
              <w:t>®</w:t>
            </w:r>
            <w:r>
              <w:rPr>
                <w:caps w:val="false"/>
                <w:smallCaps w:val="false"/>
              </w:rPr>
              <w:t xml:space="preserve"> </w:t>
            </w:r>
            <w:r>
              <w:rPr>
                <w:rFonts w:ascii="Times New Roman;Times;serif" w:hAnsi="Times New Roman;Times;serif"/>
                <w:b/>
                <w:i w:val="false"/>
                <w:caps w:val="false"/>
                <w:smallCaps w:val="false"/>
                <w:sz w:val="24"/>
              </w:rPr>
              <w:t>Accounts</w:t>
            </w:r>
            <w:r>
              <w:rPr>
                <w:rFonts w:ascii="Times New Roman;Times;serif" w:hAnsi="Times New Roman;Times;serif"/>
                <w:b w:val="false"/>
                <w:i w:val="false"/>
                <w:caps w:val="false"/>
                <w:smallCaps w:val="false"/>
                <w:sz w:val="24"/>
              </w:rPr>
              <w:t>: The first full quarter following the expansion of our commercial organization contributed to unprecedented enrollment in the second quarter. Through disciplined execution and now greater reach and frequency to engage with healthcare providers, demand grew across both new and existing accounts, further demonstrating the scalability of our commercial platform. Our commercial, patient services, and medical affairs teams continue to work closely together to help ensure a positive PEDMARK</w:t>
            </w:r>
            <w:r>
              <w:rPr>
                <w:rFonts w:ascii="Times New Roman;Times;serif" w:hAnsi="Times New Roman;Times;serif"/>
                <w:b w:val="false"/>
                <w:i w:val="false"/>
                <w:caps w:val="false"/>
                <w:smallCaps w:val="false"/>
                <w:sz w:val="18"/>
              </w:rPr>
              <w:t>®</w:t>
            </w:r>
            <w:r>
              <w:rPr>
                <w:caps w:val="false"/>
                <w:smallCaps w:val="false"/>
              </w:rPr>
              <w:t xml:space="preserve"> </w:t>
            </w:r>
            <w:r>
              <w:rPr>
                <w:rFonts w:ascii="Times New Roman;Times;serif" w:hAnsi="Times New Roman;Times;serif"/>
                <w:b w:val="false"/>
                <w:i w:val="false"/>
                <w:caps w:val="false"/>
                <w:smallCaps w:val="false"/>
                <w:sz w:val="24"/>
              </w:rPr>
              <w:t xml:space="preserve">experience for both prescribers and patients throughout the treatment journey. </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 xml:space="preserve">2026 American Society of Clinical Oncology (ASCO) Annual Meeting: </w:t>
            </w:r>
            <w:r>
              <w:rPr>
                <w:rFonts w:ascii="Times New Roman;Times;serif" w:hAnsi="Times New Roman;Times;serif"/>
                <w:b w:val="false"/>
                <w:i w:val="false"/>
                <w:caps w:val="false"/>
                <w:smallCaps w:val="false"/>
                <w:sz w:val="24"/>
              </w:rPr>
              <w:t>New research evaluating PEDMARK</w:t>
            </w:r>
            <w:r>
              <w:rPr>
                <w:rFonts w:ascii="Times New Roman;Times;serif" w:hAnsi="Times New Roman;Times;serif"/>
                <w:b w:val="false"/>
                <w:i w:val="false"/>
                <w:caps w:val="false"/>
                <w:smallCaps w:val="false"/>
                <w:sz w:val="18"/>
              </w:rPr>
              <w:t>®</w:t>
            </w:r>
            <w:r>
              <w:rPr>
                <w:caps w:val="false"/>
                <w:smallCaps w:val="false"/>
              </w:rPr>
              <w:t xml:space="preserve"> </w:t>
            </w:r>
            <w:r>
              <w:rPr>
                <w:rFonts w:ascii="Times New Roman;Times;serif" w:hAnsi="Times New Roman;Times;serif"/>
                <w:b w:val="false"/>
                <w:i w:val="false"/>
                <w:caps w:val="false"/>
                <w:smallCaps w:val="false"/>
                <w:sz w:val="24"/>
              </w:rPr>
              <w:t>across multiple patient populations and tumor types were shared as part of the 2026 American Society of Clinical Oncology (ASCO) Annual Meeting program. The four independently led studies build upon the established safety and efficacy of PEDMARK</w:t>
            </w:r>
            <w:r>
              <w:rPr>
                <w:rFonts w:ascii="Times New Roman;Times;serif" w:hAnsi="Times New Roman;Times;serif"/>
                <w:b w:val="false"/>
                <w:i w:val="false"/>
                <w:caps w:val="false"/>
                <w:smallCaps w:val="false"/>
                <w:sz w:val="18"/>
              </w:rPr>
              <w:t>®</w:t>
            </w:r>
            <w:r>
              <w:rPr>
                <w:caps w:val="false"/>
                <w:smallCaps w:val="false"/>
              </w:rPr>
              <w:t xml:space="preserve"> – </w:t>
            </w:r>
            <w:r>
              <w:rPr>
                <w:rFonts w:ascii="Times New Roman;Times;serif" w:hAnsi="Times New Roman;Times;serif"/>
                <w:b w:val="false"/>
                <w:i w:val="false"/>
                <w:caps w:val="false"/>
                <w:smallCaps w:val="false"/>
                <w:sz w:val="24"/>
              </w:rPr>
              <w:t xml:space="preserve">currently approved for pediatric patients one month of age and older with localized, non-metastatic solid tumors, and recognized by the National Comprehensive Cancer Network with a 2A recommendation for use in adolescent and young adult patients – and help to expand understanding of the clinical utility of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jc w:val="left"/>
              <w:rPr>
                <w:sz w:val="4"/>
                <w:szCs w:val="4"/>
              </w:rPr>
            </w:pPr>
            <w:r>
              <w:rPr>
                <w:sz w:val="4"/>
                <w:szCs w:val="4"/>
              </w:rPr>
            </w:r>
          </w:p>
        </w:tc>
        <w:tc>
          <w:tcPr>
            <w:tcW w:w="1018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PEDMARK</w:t>
            </w:r>
            <w:r>
              <w:rPr>
                <w:rFonts w:ascii="Times New Roman;Times;serif" w:hAnsi="Times New Roman;Times;serif"/>
                <w:b w:val="false"/>
                <w:i w:val="false"/>
                <w:caps w:val="false"/>
                <w:smallCaps w:val="false"/>
                <w:sz w:val="18"/>
              </w:rPr>
              <w:t>®</w:t>
            </w:r>
            <w:r>
              <w:rPr>
                <w:caps w:val="false"/>
                <w:smallCaps w:val="false"/>
              </w:rPr>
              <w:t xml:space="preserve"> </w:t>
            </w:r>
            <w:r>
              <w:rPr>
                <w:rFonts w:ascii="Times New Roman;Times;serif" w:hAnsi="Times New Roman;Times;serif"/>
                <w:b w:val="false"/>
                <w:i w:val="false"/>
                <w:caps w:val="false"/>
                <w:smallCaps w:val="false"/>
                <w:sz w:val="24"/>
              </w:rPr>
              <w:t>in Adolescent and Young Adult (AYA) and adult populations, where significant unmet need remains.</w:t>
            </w:r>
          </w:p>
        </w:tc>
      </w:tr>
    </w:tbl>
    <w:p>
      <w:pPr>
        <w:pStyle w:val="TextBody"/>
        <w:bidi w:val="0"/>
        <w:spacing w:before="0" w:after="0"/>
        <w:ind w:left="360" w:right="0" w:hanging="0"/>
        <w:jc w:val="both"/>
        <w:rPr/>
      </w:pPr>
      <w:r>
        <w:rPr/>
        <w:t>​</w:t>
      </w:r>
    </w:p>
    <w:p>
      <w:pPr>
        <w:pStyle w:val="TextBody"/>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Upcoming Events: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1003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H.C. Wainwright 27th Annual Global Investment Conference:</w:t>
            </w:r>
            <w:r>
              <w:rPr>
                <w:caps w:val="false"/>
                <w:smallCaps w:val="false"/>
              </w:rPr>
              <w:t xml:space="preserve"> </w:t>
            </w:r>
            <w:r>
              <w:rPr>
                <w:rFonts w:ascii="Times New Roman;Times;serif" w:hAnsi="Times New Roman;Times;serif"/>
                <w:b w:val="false"/>
                <w:i w:val="false"/>
                <w:caps w:val="false"/>
                <w:smallCaps w:val="false"/>
                <w:sz w:val="24"/>
              </w:rPr>
              <w:t>Fennec will present at the conference to be held September 14 – 17, 2026, in NYC. The management team will also host one-on-one investor meetings at the conference.</w:t>
            </w:r>
          </w:p>
        </w:tc>
      </w:tr>
    </w:tbl>
    <w:p>
      <w:pPr>
        <w:pStyle w:val="TextBody"/>
        <w:bidi w:val="0"/>
        <w:spacing w:before="0" w:after="0"/>
        <w:ind w:left="360" w:right="0" w:hanging="0"/>
        <w:jc w:val="left"/>
        <w:rPr/>
      </w:pPr>
      <w:r>
        <w:rPr/>
        <w:t>​</w:t>
      </w:r>
    </w:p>
    <w:p>
      <w:pPr>
        <w:pStyle w:val="TextBody"/>
        <w:bidi w:val="0"/>
        <w:spacing w:before="0" w:after="0"/>
        <w:ind w:left="0" w:right="0" w:hanging="0"/>
        <w:jc w:val="left"/>
        <w:rPr>
          <w:rFonts w:ascii="Times New Roman;Times;serif" w:hAnsi="Times New Roman;Times;serif"/>
          <w:b/>
          <w:sz w:val="24"/>
          <w:shd w:fill="FFFFFF" w:val="clear"/>
        </w:rPr>
      </w:pPr>
      <w:r>
        <w:rPr>
          <w:rFonts w:ascii="Times New Roman;Times;serif" w:hAnsi="Times New Roman;Times;serif"/>
          <w:b/>
          <w:sz w:val="24"/>
          <w:shd w:fill="FFFFFF" w:val="clear"/>
        </w:rPr>
        <w:t>Financial Results for the Second Quarter Ended June 30, 2026</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 xml:space="preserve">Net Product Sales </w:t>
            </w:r>
            <w:r>
              <w:rPr>
                <w:caps w:val="false"/>
                <w:smallCaps w:val="false"/>
              </w:rPr>
              <w:t>– </w:t>
            </w:r>
            <w:r>
              <w:rPr>
                <w:rFonts w:ascii="Times New Roman;Times;serif" w:hAnsi="Times New Roman;Times;serif"/>
                <w:b w:val="false"/>
                <w:i w:val="false"/>
                <w:caps w:val="false"/>
                <w:smallCaps w:val="false"/>
                <w:sz w:val="24"/>
              </w:rPr>
              <w:t>For the second quarter of 2026, the Company recorded net product sales of approximately $17.1 million compared to $9.7 million in the second quarter of 2025. The increase in sales is attributable to growth across PEDMARK</w:t>
            </w:r>
            <w:r>
              <w:rPr>
                <w:rFonts w:ascii="Times New Roman;Times;serif" w:hAnsi="Times New Roman;Times;serif"/>
                <w:b w:val="false"/>
                <w:i w:val="false"/>
                <w:caps w:val="false"/>
                <w:smallCaps w:val="false"/>
                <w:sz w:val="18"/>
              </w:rPr>
              <w:t>®</w:t>
            </w:r>
            <w:r>
              <w:rPr>
                <w:caps w:val="false"/>
                <w:smallCaps w:val="false"/>
              </w:rPr>
              <w:t xml:space="preserve"> </w:t>
            </w:r>
            <w:r>
              <w:rPr>
                <w:rFonts w:ascii="Times New Roman;Times;serif" w:hAnsi="Times New Roman;Times;serif"/>
                <w:b w:val="false"/>
                <w:i w:val="false"/>
                <w:caps w:val="false"/>
                <w:smallCaps w:val="false"/>
                <w:sz w:val="24"/>
              </w:rPr>
              <w:t xml:space="preserve">accounts </w:t>
            </w:r>
            <w:r>
              <w:rPr>
                <w:rFonts w:ascii="Times New Roman;Times;serif" w:hAnsi="Times New Roman;Times;serif"/>
                <w:b w:val="false"/>
                <w:i w:val="false"/>
                <w:caps w:val="false"/>
                <w:smallCaps w:val="false"/>
                <w:color w:val="27251E"/>
                <w:sz w:val="24"/>
              </w:rPr>
              <w:t>including new accounts in the AYA population.</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 xml:space="preserve">Selling and Marketing Expenses – </w:t>
            </w:r>
            <w:r>
              <w:rPr>
                <w:rFonts w:ascii="Times New Roman;Times;serif" w:hAnsi="Times New Roman;Times;serif"/>
                <w:b w:val="false"/>
                <w:i w:val="false"/>
                <w:caps w:val="false"/>
                <w:smallCaps w:val="false"/>
                <w:sz w:val="24"/>
              </w:rPr>
              <w:t>The Company recorded $10.7 million in selling and marketing expenses in the second quarter of 2026 compared to $4.8 million in the second quarter of 2025. The increase is largely related to is largely related to the higher costs associated with the commercialization and increased awareness initiatives of PEDMARK</w:t>
            </w:r>
            <w:r>
              <w:rPr>
                <w:rFonts w:ascii="Times New Roman;Times;serif" w:hAnsi="Times New Roman;Times;serif"/>
                <w:b w:val="false"/>
                <w:i w:val="false"/>
                <w:caps w:val="false"/>
                <w:smallCaps w:val="false"/>
                <w:sz w:val="18"/>
              </w:rPr>
              <w:t>®</w:t>
            </w:r>
            <w:r>
              <w:rPr>
                <w:caps w:val="false"/>
                <w:smallCaps w:val="false"/>
              </w:rPr>
              <w:t> </w:t>
            </w:r>
            <w:r>
              <w:rPr>
                <w:rFonts w:ascii="Times New Roman;Times;serif" w:hAnsi="Times New Roman;Times;serif"/>
                <w:b w:val="false"/>
                <w:i w:val="false"/>
                <w:caps w:val="false"/>
                <w:smallCaps w:val="false"/>
                <w:sz w:val="24"/>
              </w:rPr>
              <w:t>and related expenses to support the expansion of our sales organization. Further, on a comparable basis, there was a reallocation of select general and administrative expenses to selling and marketing expenses in the second quarter of 2026 compared to the second quarter of 2025.</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 xml:space="preserve">General and Administrative (G&amp;A) Expenses – </w:t>
            </w:r>
            <w:r>
              <w:rPr>
                <w:rFonts w:ascii="Times New Roman;Times;serif" w:hAnsi="Times New Roman;Times;serif"/>
                <w:b w:val="false"/>
                <w:i w:val="false"/>
                <w:caps w:val="false"/>
                <w:smallCaps w:val="false"/>
                <w:sz w:val="24"/>
              </w:rPr>
              <w:t>The Company recorded $4.6 million in general and administrative expenses in the second quarter of 2026 compared to $6.5 million in the second quarter of 2025. The decrease in general and administrative expenses for the three-month comparable periods due to lower legal and professional fees as select litigation activities concluded. Further, on a comparable basis, there was a reallocation of select general and administrative expenses to selling and marketing expenses in the second quarter of 2026 compared to the second quarter of 2025.</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Non-GAAP adjusted EBITDA</w:t>
            </w:r>
            <w:r>
              <w:rPr>
                <w:caps w:val="false"/>
                <w:smallCaps w:val="false"/>
              </w:rPr>
              <w:t xml:space="preserve"> – </w:t>
            </w:r>
            <w:r>
              <w:rPr>
                <w:rFonts w:ascii="Times New Roman;Times;serif" w:hAnsi="Times New Roman;Times;serif"/>
                <w:b w:val="false"/>
                <w:i w:val="false"/>
                <w:caps w:val="false"/>
                <w:smallCaps w:val="false"/>
                <w:sz w:val="24"/>
              </w:rPr>
              <w:t>The Company recorded $2.8 million in non-GAAP adjusted EBITDA in the second quarter of 2026 compared to non-GAAP adjusted EBITDA loss of $1.2 million for the same period in the prior year. A table reconciling non-GAAP measures is included in this press release for reference.</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Cash Position – </w:t>
            </w:r>
            <w:r>
              <w:rPr>
                <w:rFonts w:ascii="Times New Roman;Times;serif" w:hAnsi="Times New Roman;Times;serif"/>
                <w:b w:val="false"/>
                <w:i w:val="false"/>
                <w:caps w:val="false"/>
                <w:smallCaps w:val="false"/>
                <w:sz w:val="24"/>
              </w:rPr>
              <w:t>Cash and cash equivalents were $41.2 million as of June 30, 2026 compared to $40.1 million as of March 31, 2026. We anticipate that our cash, cash equivalents and investment securities as of June 30, 2026, combined with the projected revenues from PEDMARK</w:t>
            </w:r>
            <w:r>
              <w:rPr>
                <w:rFonts w:ascii="Times New Roman;Times;serif" w:hAnsi="Times New Roman;Times;serif"/>
                <w:b w:val="false"/>
                <w:i w:val="false"/>
                <w:caps w:val="false"/>
                <w:smallCaps w:val="false"/>
                <w:sz w:val="18"/>
              </w:rPr>
              <w:t>®</w:t>
            </w:r>
            <w:r>
              <w:rPr>
                <w:rFonts w:ascii="Times New Roman;Times;serif" w:hAnsi="Times New Roman;Times;serif"/>
                <w:b w:val="false"/>
                <w:i w:val="false"/>
                <w:caps w:val="false"/>
                <w:smallCaps w:val="false"/>
                <w:sz w:val="24"/>
              </w:rPr>
              <w:t>, will be sufficient to fund our business based on our current operating plan.</w:t>
            </w:r>
          </w:p>
        </w:tc>
      </w:tr>
    </w:tbl>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Second Quarter 2026 Conference Call Information</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Date:</w:t>
      </w:r>
      <w:r>
        <w:rPr>
          <w:rFonts w:ascii="Times New Roman;Times;serif" w:hAnsi="Times New Roman;Times;serif"/>
          <w:sz w:val="24"/>
        </w:rPr>
        <w:t>Tuesday, August 11, 2026</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Time:</w:t>
      </w:r>
      <w:r>
        <w:rPr>
          <w:rFonts w:ascii="Times New Roman;Times;serif" w:hAnsi="Times New Roman;Times;serif"/>
          <w:sz w:val="24"/>
        </w:rPr>
        <w:t>8:30 a.m. Eastern Time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4"/>
        </w:rPr>
        <w:t xml:space="preserve">Webcast Link: </w:t>
      </w:r>
      <w:r>
        <w:rPr>
          <w:rFonts w:ascii="Times New Roman;Times;serif" w:hAnsi="Times New Roman;Times;serif"/>
          <w:color w:val="5B9BD5"/>
          <w:sz w:val="24"/>
        </w:rPr>
        <w:t>https://edge.media-server.com/mmc/p/2iptdco4</w:t>
      </w:r>
      <w:r>
        <w:rPr>
          <w:rFonts w:ascii="Times New Roman;Times;serif" w:hAnsi="Times New Roman;Times;serif"/>
          <w:color w:val="5B9BD5"/>
          <w:sz w:val="20"/>
          <w:u w:val="single"/>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4"/>
        </w:rPr>
        <w:t xml:space="preserve">Participant Link: </w:t>
      </w:r>
      <w:r>
        <w:rPr>
          <w:rFonts w:ascii="Times New Roman;Times;serif" w:hAnsi="Times New Roman;Times;serif"/>
          <w:color w:val="5B9BD5"/>
          <w:sz w:val="24"/>
          <w:u w:val="single"/>
        </w:rPr>
        <w:t>https://register-conf.media-server.com/register/BIaa4b518aeb974d02873eccf8f56d92f3</w:t>
      </w:r>
      <w:r>
        <w:rPr>
          <w:rFonts w:ascii="Times New Roman;Times;serif" w:hAnsi="Times New Roman;Times;serif"/>
          <w:color w:val="5B9BD5"/>
          <w:sz w:val="20"/>
          <w:u w:val="single"/>
        </w:rPr>
        <w:t xml:space="preserve">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4"/>
        </w:rPr>
        <w:t>Financial</w:t>
      </w:r>
      <w:r>
        <w:rPr>
          <w:rFonts w:ascii="Times New Roman;Times;serif" w:hAnsi="Times New Roman;Times;serif"/>
          <w:b/>
          <w:spacing w:val="-1"/>
          <w:sz w:val="20"/>
        </w:rPr>
        <w:t xml:space="preserve"> </w:t>
      </w:r>
      <w:r>
        <w:rPr>
          <w:rFonts w:ascii="Times New Roman;Times;serif" w:hAnsi="Times New Roman;Times;serif"/>
          <w:b/>
          <w:spacing w:val="-2"/>
          <w:sz w:val="24"/>
        </w:rPr>
        <w:t>Update</w:t>
      </w:r>
    </w:p>
    <w:p>
      <w:pPr>
        <w:pStyle w:val="TextBody"/>
        <w:bidi w:val="0"/>
        <w:spacing w:before="1" w:after="240"/>
        <w:ind w:left="72" w:right="69" w:firstLine="18"/>
        <w:jc w:val="both"/>
        <w:rPr>
          <w:rFonts w:ascii="Times New Roman;Times;serif" w:hAnsi="Times New Roman;Times;serif"/>
          <w:sz w:val="20"/>
        </w:rPr>
      </w:pPr>
      <w:r>
        <w:rPr>
          <w:rFonts w:ascii="Times New Roman;Times;serif" w:hAnsi="Times New Roman;Times;serif"/>
          <w:sz w:val="24"/>
        </w:rPr>
        <w:t>The selected financial data presented below is derived from our unaudited condensed consolidated financial statements, which were prepared in accordance with U.S. generally accepted accounting principles.</w:t>
      </w:r>
      <w:r>
        <w:rPr>
          <w:rFonts w:ascii="Times New Roman;Times;serif" w:hAnsi="Times New Roman;Times;serif"/>
          <w:spacing w:val="17"/>
          <w:sz w:val="20"/>
        </w:rPr>
        <w:t xml:space="preserve"> </w:t>
      </w:r>
      <w:r>
        <w:rPr>
          <w:rFonts w:ascii="Times New Roman;Times;serif" w:hAnsi="Times New Roman;Times;serif"/>
          <w:sz w:val="24"/>
        </w:rPr>
        <w:t>The</w:t>
      </w:r>
      <w:r>
        <w:rPr>
          <w:rFonts w:ascii="Times New Roman;Times;serif" w:hAnsi="Times New Roman;Times;serif"/>
          <w:spacing w:val="18"/>
          <w:sz w:val="20"/>
        </w:rPr>
        <w:t xml:space="preserve"> </w:t>
      </w:r>
      <w:r>
        <w:rPr>
          <w:rFonts w:ascii="Times New Roman;Times;serif" w:hAnsi="Times New Roman;Times;serif"/>
          <w:sz w:val="24"/>
        </w:rPr>
        <w:t>complete</w:t>
      </w:r>
      <w:r>
        <w:rPr>
          <w:rFonts w:ascii="Times New Roman;Times;serif" w:hAnsi="Times New Roman;Times;serif"/>
          <w:spacing w:val="20"/>
          <w:sz w:val="20"/>
        </w:rPr>
        <w:t xml:space="preserve"> </w:t>
      </w:r>
      <w:r>
        <w:rPr>
          <w:rFonts w:ascii="Times New Roman;Times;serif" w:hAnsi="Times New Roman;Times;serif"/>
          <w:sz w:val="24"/>
        </w:rPr>
        <w:t>unaudited</w:t>
      </w:r>
      <w:r>
        <w:rPr>
          <w:rFonts w:ascii="Times New Roman;Times;serif" w:hAnsi="Times New Roman;Times;serif"/>
          <w:spacing w:val="19"/>
          <w:sz w:val="20"/>
        </w:rPr>
        <w:t xml:space="preserve"> </w:t>
      </w:r>
      <w:r>
        <w:rPr>
          <w:rFonts w:ascii="Times New Roman;Times;serif" w:hAnsi="Times New Roman;Times;serif"/>
          <w:sz w:val="24"/>
        </w:rPr>
        <w:t>condensed</w:t>
      </w:r>
      <w:r>
        <w:rPr>
          <w:rFonts w:ascii="Times New Roman;Times;serif" w:hAnsi="Times New Roman;Times;serif"/>
          <w:spacing w:val="19"/>
          <w:sz w:val="20"/>
        </w:rPr>
        <w:t xml:space="preserve"> </w:t>
      </w:r>
      <w:r>
        <w:rPr>
          <w:rFonts w:ascii="Times New Roman;Times;serif" w:hAnsi="Times New Roman;Times;serif"/>
          <w:sz w:val="24"/>
        </w:rPr>
        <w:t>consolidated</w:t>
      </w:r>
      <w:r>
        <w:rPr>
          <w:rFonts w:ascii="Times New Roman;Times;serif" w:hAnsi="Times New Roman;Times;serif"/>
          <w:spacing w:val="19"/>
          <w:sz w:val="20"/>
        </w:rPr>
        <w:t xml:space="preserve"> </w:t>
      </w:r>
      <w:r>
        <w:rPr>
          <w:rFonts w:ascii="Times New Roman;Times;serif" w:hAnsi="Times New Roman;Times;serif"/>
          <w:sz w:val="24"/>
        </w:rPr>
        <w:t>financial</w:t>
      </w:r>
      <w:r>
        <w:rPr>
          <w:rFonts w:ascii="Times New Roman;Times;serif" w:hAnsi="Times New Roman;Times;serif"/>
          <w:spacing w:val="20"/>
          <w:sz w:val="20"/>
        </w:rPr>
        <w:t xml:space="preserve"> </w:t>
      </w:r>
      <w:r>
        <w:rPr>
          <w:rFonts w:ascii="Times New Roman;Times;serif" w:hAnsi="Times New Roman;Times;serif"/>
          <w:sz w:val="24"/>
        </w:rPr>
        <w:t>statements</w:t>
      </w:r>
      <w:r>
        <w:rPr>
          <w:rFonts w:ascii="Times New Roman;Times;serif" w:hAnsi="Times New Roman;Times;serif"/>
          <w:spacing w:val="19"/>
          <w:sz w:val="20"/>
        </w:rPr>
        <w:t xml:space="preserve"> </w:t>
      </w:r>
      <w:r>
        <w:rPr>
          <w:rFonts w:ascii="Times New Roman;Times;serif" w:hAnsi="Times New Roman;Times;serif"/>
          <w:sz w:val="24"/>
        </w:rPr>
        <w:t>for</w:t>
      </w:r>
      <w:r>
        <w:rPr>
          <w:rFonts w:ascii="Times New Roman;Times;serif" w:hAnsi="Times New Roman;Times;serif"/>
          <w:spacing w:val="18"/>
          <w:sz w:val="20"/>
        </w:rPr>
        <w:t xml:space="preserve"> </w:t>
      </w:r>
      <w:r>
        <w:rPr>
          <w:rFonts w:ascii="Times New Roman;Times;serif" w:hAnsi="Times New Roman;Times;serif"/>
          <w:sz w:val="24"/>
        </w:rPr>
        <w:t>the</w:t>
      </w:r>
      <w:r>
        <w:rPr>
          <w:rFonts w:ascii="Times New Roman;Times;serif" w:hAnsi="Times New Roman;Times;serif"/>
          <w:spacing w:val="19"/>
          <w:sz w:val="20"/>
        </w:rPr>
        <w:t xml:space="preserve"> </w:t>
      </w:r>
      <w:r>
        <w:rPr>
          <w:rFonts w:ascii="Times New Roman;Times;serif" w:hAnsi="Times New Roman;Times;serif"/>
          <w:sz w:val="24"/>
        </w:rPr>
        <w:t>period</w:t>
      </w:r>
      <w:r>
        <w:rPr>
          <w:rFonts w:ascii="Times New Roman;Times;serif" w:hAnsi="Times New Roman;Times;serif"/>
          <w:spacing w:val="19"/>
          <w:sz w:val="20"/>
        </w:rPr>
        <w:t xml:space="preserve"> </w:t>
      </w:r>
      <w:r>
        <w:rPr>
          <w:rFonts w:ascii="Times New Roman;Times;serif" w:hAnsi="Times New Roman;Times;serif"/>
          <w:spacing w:val="-2"/>
          <w:sz w:val="24"/>
        </w:rPr>
        <w:t xml:space="preserve">ended </w:t>
      </w:r>
      <w:r>
        <w:rPr>
          <w:rFonts w:ascii="Times New Roman;Times;serif" w:hAnsi="Times New Roman;Times;serif"/>
          <w:sz w:val="24"/>
        </w:rPr>
        <w:t>June 30, 2026,</w:t>
      </w:r>
      <w:r>
        <w:rPr>
          <w:rFonts w:ascii="Times New Roman;Times;serif" w:hAnsi="Times New Roman;Times;serif"/>
          <w:spacing w:val="-12"/>
          <w:sz w:val="20"/>
        </w:rPr>
        <w:t xml:space="preserve"> </w:t>
      </w:r>
      <w:r>
        <w:rPr>
          <w:rFonts w:ascii="Times New Roman;Times;serif" w:hAnsi="Times New Roman;Times;serif"/>
          <w:sz w:val="24"/>
        </w:rPr>
        <w:t>and</w:t>
      </w:r>
      <w:r>
        <w:rPr>
          <w:rFonts w:ascii="Times New Roman;Times;serif" w:hAnsi="Times New Roman;Times;serif"/>
          <w:spacing w:val="-12"/>
          <w:sz w:val="20"/>
        </w:rPr>
        <w:t xml:space="preserve"> </w:t>
      </w:r>
      <w:r>
        <w:rPr>
          <w:rFonts w:ascii="Times New Roman;Times;serif" w:hAnsi="Times New Roman;Times;serif"/>
          <w:sz w:val="24"/>
        </w:rPr>
        <w:t>management's</w:t>
      </w:r>
      <w:r>
        <w:rPr>
          <w:rFonts w:ascii="Times New Roman;Times;serif" w:hAnsi="Times New Roman;Times;serif"/>
          <w:spacing w:val="-12"/>
          <w:sz w:val="20"/>
        </w:rPr>
        <w:t xml:space="preserve"> </w:t>
      </w:r>
      <w:r>
        <w:rPr>
          <w:rFonts w:ascii="Times New Roman;Times;serif" w:hAnsi="Times New Roman;Times;serif"/>
          <w:sz w:val="24"/>
        </w:rPr>
        <w:t>discussion</w:t>
      </w:r>
      <w:r>
        <w:rPr>
          <w:rFonts w:ascii="Times New Roman;Times;serif" w:hAnsi="Times New Roman;Times;serif"/>
          <w:spacing w:val="-12"/>
          <w:sz w:val="20"/>
        </w:rPr>
        <w:t xml:space="preserve"> </w:t>
      </w:r>
      <w:r>
        <w:rPr>
          <w:rFonts w:ascii="Times New Roman;Times;serif" w:hAnsi="Times New Roman;Times;serif"/>
          <w:sz w:val="24"/>
        </w:rPr>
        <w:t>and</w:t>
      </w:r>
      <w:r>
        <w:rPr>
          <w:rFonts w:ascii="Times New Roman;Times;serif" w:hAnsi="Times New Roman;Times;serif"/>
          <w:spacing w:val="-12"/>
          <w:sz w:val="20"/>
        </w:rPr>
        <w:t xml:space="preserve"> </w:t>
      </w:r>
      <w:r>
        <w:rPr>
          <w:rFonts w:ascii="Times New Roman;Times;serif" w:hAnsi="Times New Roman;Times;serif"/>
          <w:sz w:val="24"/>
        </w:rPr>
        <w:t>analysis</w:t>
      </w:r>
      <w:r>
        <w:rPr>
          <w:rFonts w:ascii="Times New Roman;Times;serif" w:hAnsi="Times New Roman;Times;serif"/>
          <w:spacing w:val="-12"/>
          <w:sz w:val="20"/>
        </w:rPr>
        <w:t xml:space="preserve"> </w:t>
      </w:r>
      <w:r>
        <w:rPr>
          <w:rFonts w:ascii="Times New Roman;Times;serif" w:hAnsi="Times New Roman;Times;serif"/>
          <w:sz w:val="24"/>
        </w:rPr>
        <w:t>of</w:t>
      </w:r>
      <w:r>
        <w:rPr>
          <w:rFonts w:ascii="Times New Roman;Times;serif" w:hAnsi="Times New Roman;Times;serif"/>
          <w:spacing w:val="-13"/>
          <w:sz w:val="20"/>
        </w:rPr>
        <w:t xml:space="preserve"> </w:t>
      </w:r>
      <w:r>
        <w:rPr>
          <w:rFonts w:ascii="Times New Roman;Times;serif" w:hAnsi="Times New Roman;Times;serif"/>
          <w:sz w:val="24"/>
        </w:rPr>
        <w:t>financial</w:t>
      </w:r>
      <w:r>
        <w:rPr>
          <w:rFonts w:ascii="Times New Roman;Times;serif" w:hAnsi="Times New Roman;Times;serif"/>
          <w:spacing w:val="-10"/>
          <w:sz w:val="20"/>
        </w:rPr>
        <w:t xml:space="preserve"> </w:t>
      </w:r>
      <w:r>
        <w:rPr>
          <w:rFonts w:ascii="Times New Roman;Times;serif" w:hAnsi="Times New Roman;Times;serif"/>
          <w:sz w:val="24"/>
        </w:rPr>
        <w:t>condition</w:t>
      </w:r>
      <w:r>
        <w:rPr>
          <w:rFonts w:ascii="Times New Roman;Times;serif" w:hAnsi="Times New Roman;Times;serif"/>
          <w:spacing w:val="-12"/>
          <w:sz w:val="20"/>
        </w:rPr>
        <w:t xml:space="preserve"> </w:t>
      </w:r>
      <w:r>
        <w:rPr>
          <w:rFonts w:ascii="Times New Roman;Times;serif" w:hAnsi="Times New Roman;Times;serif"/>
          <w:sz w:val="24"/>
        </w:rPr>
        <w:t>and</w:t>
      </w:r>
      <w:r>
        <w:rPr>
          <w:rFonts w:ascii="Times New Roman;Times;serif" w:hAnsi="Times New Roman;Times;serif"/>
          <w:spacing w:val="-12"/>
          <w:sz w:val="20"/>
        </w:rPr>
        <w:t xml:space="preserve"> </w:t>
      </w:r>
      <w:r>
        <w:rPr>
          <w:rFonts w:ascii="Times New Roman;Times;serif" w:hAnsi="Times New Roman;Times;serif"/>
          <w:sz w:val="24"/>
        </w:rPr>
        <w:t>results</w:t>
      </w:r>
      <w:r>
        <w:rPr>
          <w:rFonts w:ascii="Times New Roman;Times;serif" w:hAnsi="Times New Roman;Times;serif"/>
          <w:spacing w:val="-12"/>
          <w:sz w:val="20"/>
        </w:rPr>
        <w:t xml:space="preserve"> </w:t>
      </w:r>
      <w:r>
        <w:rPr>
          <w:rFonts w:ascii="Times New Roman;Times;serif" w:hAnsi="Times New Roman;Times;serif"/>
          <w:sz w:val="24"/>
        </w:rPr>
        <w:t>of</w:t>
      </w:r>
      <w:r>
        <w:rPr>
          <w:rFonts w:ascii="Times New Roman;Times;serif" w:hAnsi="Times New Roman;Times;serif"/>
          <w:spacing w:val="-13"/>
          <w:sz w:val="20"/>
        </w:rPr>
        <w:t xml:space="preserve"> </w:t>
      </w:r>
      <w:r>
        <w:rPr>
          <w:rFonts w:ascii="Times New Roman;Times;serif" w:hAnsi="Times New Roman;Times;serif"/>
          <w:sz w:val="24"/>
        </w:rPr>
        <w:t>operations will be available via www.sec.gov</w:t>
      </w:r>
      <w:r>
        <w:rPr>
          <w:rFonts w:ascii="Times New Roman;Times;serif" w:hAnsi="Times New Roman;Times;serif"/>
          <w:sz w:val="20"/>
        </w:rPr>
        <w:t xml:space="preserve"> </w:t>
      </w:r>
      <w:r>
        <w:rPr>
          <w:rFonts w:ascii="Times New Roman;Times;serif" w:hAnsi="Times New Roman;Times;serif"/>
          <w:sz w:val="24"/>
        </w:rPr>
        <w:t>and www.sedar.com</w:t>
      </w:r>
      <w:r>
        <w:rPr>
          <w:rFonts w:ascii="Times New Roman;Times;serif" w:hAnsi="Times New Roman;Times;serif"/>
          <w:color w:val="1F487C"/>
          <w:sz w:val="24"/>
        </w:rPr>
        <w:t>.</w:t>
      </w:r>
      <w:r>
        <w:rPr>
          <w:rFonts w:ascii="Times New Roman;Times;serif" w:hAnsi="Times New Roman;Times;serif"/>
          <w:color w:val="1F487C"/>
          <w:sz w:val="20"/>
        </w:rPr>
        <w:t xml:space="preserve"> </w:t>
      </w:r>
      <w:r>
        <w:rPr>
          <w:rFonts w:ascii="Times New Roman;Times;serif" w:hAnsi="Times New Roman;Times;serif"/>
          <w:sz w:val="24"/>
        </w:rPr>
        <w:t>All values are presented in thousands unless otherwise noted.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Condensed Consolidated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Statements of Operations: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and per share amounts)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154"/>
        <w:gridCol w:w="346"/>
        <w:gridCol w:w="211"/>
        <w:gridCol w:w="676"/>
        <w:gridCol w:w="346"/>
        <w:gridCol w:w="211"/>
        <w:gridCol w:w="689"/>
        <w:gridCol w:w="346"/>
        <w:gridCol w:w="211"/>
        <w:gridCol w:w="676"/>
        <w:gridCol w:w="346"/>
        <w:gridCol w:w="211"/>
        <w:gridCol w:w="782"/>
      </w:tblGrid>
      <w:tr>
        <w:trPr/>
        <w:tc>
          <w:tcPr>
            <w:tcW w:w="5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3272790" cy="175260"/>
                      <wp:effectExtent l="0" t="0" r="0" b="0"/>
                      <wp:wrapNone/>
                      <wp:docPr id="229" name="Frame228"/>
                      <a:graphic xmlns:a="http://schemas.openxmlformats.org/drawingml/2006/main">
                        <a:graphicData uri="http://schemas.microsoft.com/office/word/2010/wordprocessingShape">
                          <wps:wsp>
                            <wps:cNvSpPr txBox="1"/>
                            <wps:spPr>
                              <a:xfrm>
                                <a:off x="0" y="0"/>
                                <a:ext cx="3272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30"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31" name="Frame2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29260" cy="175260"/>
                      <wp:effectExtent l="0" t="0" r="0" b="0"/>
                      <wp:wrapNone/>
                      <wp:docPr id="232" name="Frame23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33"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34" name="Frame2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37515" cy="175260"/>
                      <wp:effectExtent l="0" t="0" r="0" b="0"/>
                      <wp:wrapNone/>
                      <wp:docPr id="235" name="Frame234"/>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36"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260"/>
                      <wp:effectExtent l="0" t="0" r="0" b="0"/>
                      <wp:wrapNone/>
                      <wp:docPr id="237" name="Frame2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429260" cy="175260"/>
                      <wp:effectExtent l="0" t="0" r="0" b="0"/>
                      <wp:wrapNone/>
                      <wp:docPr id="238" name="Frame23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9"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240" name="Frame2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96570" cy="175260"/>
                      <wp:effectExtent l="0" t="0" r="0" b="0"/>
                      <wp:wrapNone/>
                      <wp:docPr id="241" name="Frame240"/>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346" w:type="dxa"/>
            <w:tcBorders/>
            <w:vAlign w:val="center"/>
          </w:tcPr>
          <w:p>
            <w:pPr>
              <w:pStyle w:val="TableContents"/>
              <w:bidi w:val="0"/>
              <w:spacing w:before="0" w:after="0"/>
              <w:ind w:left="0" w:right="0" w:hanging="0"/>
              <w:jc w:val="left"/>
              <w:rPr/>
            </w:pPr>
            <w:r>
              <w:rPr/>
              <w:t>​</w:t>
            </w:r>
          </w:p>
        </w:tc>
        <w:tc>
          <w:tcPr>
            <w:tcW w:w="222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51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0"/>
              <w:ind w:left="0" w:right="0" w:hanging="0"/>
              <w:jc w:val="left"/>
              <w:rPr/>
            </w:pPr>
            <w:r>
              <w:rPr/>
              <w:t>​</w:t>
            </w:r>
          </w:p>
        </w:tc>
        <w:tc>
          <w:tcPr>
            <w:tcW w:w="993"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51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9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51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left"/>
              <w:rPr/>
            </w:pPr>
            <w:r>
              <w:rPr/>
              <w:t>​</w:t>
            </w:r>
          </w:p>
        </w:tc>
      </w:tr>
      <w:tr>
        <w:trPr/>
        <w:tc>
          <w:tcPr>
            <w:tcW w:w="5154" w:type="dxa"/>
            <w:tcBorders/>
            <w:shd w:fill="CCEEFF" w:val="clear"/>
            <w:vAlign w:val="center"/>
          </w:tcPr>
          <w:p>
            <w:pPr>
              <w:pStyle w:val="TableContents"/>
              <w:bidi w:val="0"/>
              <w:spacing w:before="0" w:after="0"/>
              <w:ind w:left="0" w:right="0" w:hanging="0"/>
              <w:jc w:val="left"/>
              <w:rPr>
                <w:rFonts w:ascii="Helvetica;sans-serif" w:hAnsi="Helvetica;sans-serif"/>
                <w:b/>
                <w:sz w:val="20"/>
              </w:rPr>
            </w:pPr>
            <w:r>
              <w:rPr>
                <w:rFonts w:ascii="Helvetica;sans-serif" w:hAnsi="Helvetica;sans-serif"/>
                <w:b/>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left"/>
              <w:rPr/>
            </w:pPr>
            <w:r>
              <w:rPr/>
              <w:t>​</w:t>
            </w:r>
          </w:p>
        </w:tc>
      </w:tr>
      <w:tr>
        <w:trPr/>
        <w:tc>
          <w:tcPr>
            <w:tcW w:w="5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PEDMARK product sales,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17,164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9,652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32,272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18,403</w:t>
            </w:r>
          </w:p>
        </w:tc>
      </w:tr>
      <w:tr>
        <w:trPr/>
        <w:tc>
          <w:tcPr>
            <w:tcW w:w="5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r>
      <w:tr>
        <w:trPr/>
        <w:tc>
          <w:tcPr>
            <w:tcW w:w="515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17,874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9,652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32,982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18,403</w:t>
            </w:r>
          </w:p>
        </w:tc>
      </w:tr>
      <w:tr>
        <w:trPr/>
        <w:tc>
          <w:tcPr>
            <w:tcW w:w="515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pPr>
            <w:r>
              <w:rPr/>
              <w:t>​</w:t>
            </w:r>
          </w:p>
        </w:tc>
      </w:tr>
      <w:tr>
        <w:trPr/>
        <w:tc>
          <w:tcPr>
            <w:tcW w:w="515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pPr>
            <w:r>
              <w:rPr/>
              <w:t>​</w:t>
            </w:r>
          </w:p>
        </w:tc>
      </w:tr>
      <w:tr>
        <w:trPr/>
        <w:tc>
          <w:tcPr>
            <w:tcW w:w="5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w:t>
            </w:r>
          </w:p>
        </w:tc>
      </w:tr>
      <w:tr>
        <w:trPr/>
        <w:tc>
          <w:tcPr>
            <w:tcW w:w="5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r>
      <w:tr>
        <w:trPr/>
        <w:tc>
          <w:tcPr>
            <w:tcW w:w="5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8,011</w:t>
            </w:r>
          </w:p>
        </w:tc>
      </w:tr>
      <w:tr>
        <w:trPr/>
        <w:tc>
          <w:tcPr>
            <w:tcW w:w="5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12,391</w:t>
            </w:r>
          </w:p>
        </w:tc>
      </w:tr>
      <w:tr>
        <w:trPr/>
        <w:tc>
          <w:tcPr>
            <w:tcW w:w="515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pPr>
            <w:r>
              <w:rPr/>
              <w:t>​</w:t>
            </w:r>
          </w:p>
        </w:tc>
      </w:tr>
      <w:tr>
        <w:trPr/>
        <w:tc>
          <w:tcPr>
            <w:tcW w:w="515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12,384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21,943</w:t>
            </w:r>
          </w:p>
        </w:tc>
      </w:tr>
      <w:tr>
        <w:trPr/>
        <w:tc>
          <w:tcPr>
            <w:tcW w:w="515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(3,540)</w:t>
            </w:r>
          </w:p>
        </w:tc>
      </w:tr>
      <w:tr>
        <w:trPr/>
        <w:tc>
          <w:tcPr>
            <w:tcW w:w="51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pPr>
            <w:r>
              <w:rPr/>
              <w:t>​</w:t>
            </w:r>
          </w:p>
        </w:tc>
      </w:tr>
      <w:tr>
        <w:trPr/>
        <w:tc>
          <w:tcPr>
            <w:tcW w:w="515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(expense)/income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pPr>
            <w:r>
              <w:rPr/>
              <w:t>​</w:t>
            </w:r>
          </w:p>
        </w:tc>
      </w:tr>
      <w:tr>
        <w:trPr/>
        <w:tc>
          <w:tcPr>
            <w:tcW w:w="5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Unrealized foreign exchange (loss)/gain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5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5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5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r>
      <w:tr>
        <w:trPr/>
        <w:tc>
          <w:tcPr>
            <w:tcW w:w="5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w:t>
            </w:r>
          </w:p>
        </w:tc>
      </w:tr>
      <w:tr>
        <w:trPr/>
        <w:tc>
          <w:tcPr>
            <w:tcW w:w="5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w:t>
            </w:r>
          </w:p>
        </w:tc>
      </w:tr>
      <w:tr>
        <w:trPr/>
        <w:tc>
          <w:tcPr>
            <w:tcW w:w="5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Income/(loss) before provision for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(4,317)</w:t>
            </w:r>
          </w:p>
        </w:tc>
      </w:tr>
      <w:tr>
        <w:trPr/>
        <w:tc>
          <w:tcPr>
            <w:tcW w:w="5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15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(4,317)</w:t>
            </w:r>
          </w:p>
        </w:tc>
      </w:tr>
      <w:tr>
        <w:trPr/>
        <w:tc>
          <w:tcPr>
            <w:tcW w:w="515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left"/>
              <w:rPr/>
            </w:pPr>
            <w:r>
              <w:rPr/>
              <w:t>​</w:t>
            </w:r>
          </w:p>
        </w:tc>
      </w:tr>
      <w:tr>
        <w:trPr/>
        <w:tc>
          <w:tcPr>
            <w:tcW w:w="515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Basic net income/(loss) per common share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(0.16)</w:t>
            </w:r>
          </w:p>
        </w:tc>
      </w:tr>
      <w:tr>
        <w:trPr/>
        <w:tc>
          <w:tcPr>
            <w:tcW w:w="515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Diluted net income/(loss) per common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(0.16)</w:t>
            </w:r>
          </w:p>
        </w:tc>
      </w:tr>
      <w:tr>
        <w:trPr/>
        <w:tc>
          <w:tcPr>
            <w:tcW w:w="515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Weighted-average number of common shares outstanding basic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27,621</w:t>
            </w:r>
          </w:p>
        </w:tc>
      </w:tr>
      <w:tr>
        <w:trPr/>
        <w:tc>
          <w:tcPr>
            <w:tcW w:w="515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Weighted-average number of common shares outstanding diluted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27,621</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Fennec Pharmaceuticals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Balance Sheets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Dollars and shares in thousands)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7393"/>
        <w:gridCol w:w="109"/>
        <w:gridCol w:w="211"/>
        <w:gridCol w:w="887"/>
        <w:gridCol w:w="346"/>
        <w:gridCol w:w="231"/>
        <w:gridCol w:w="1028"/>
      </w:tblGrid>
      <w:tr>
        <w:trPr/>
        <w:tc>
          <w:tcPr>
            <w:tcW w:w="7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694555" cy="175260"/>
                      <wp:effectExtent l="0" t="0" r="0" b="0"/>
                      <wp:wrapNone/>
                      <wp:docPr id="242" name="Frame241"/>
                      <a:graphic xmlns:a="http://schemas.openxmlformats.org/drawingml/2006/main">
                        <a:graphicData uri="http://schemas.microsoft.com/office/word/2010/wordprocessingShape">
                          <wps:wsp>
                            <wps:cNvSpPr txBox="1"/>
                            <wps:spPr>
                              <a:xfrm>
                                <a:off x="0" y="0"/>
                                <a:ext cx="4694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9215" cy="175260"/>
                      <wp:effectExtent l="0" t="0" r="0" b="0"/>
                      <wp:wrapNone/>
                      <wp:docPr id="243" name="Frame2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3985" cy="175260"/>
                      <wp:effectExtent l="0" t="0" r="0" b="0"/>
                      <wp:wrapNone/>
                      <wp:docPr id="244" name="Frame2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563245" cy="175260"/>
                      <wp:effectExtent l="0" t="0" r="0" b="0"/>
                      <wp:wrapNone/>
                      <wp:docPr id="245" name="Frame244"/>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6" name="Frame2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46685" cy="175260"/>
                      <wp:effectExtent l="0" t="0" r="0" b="0"/>
                      <wp:wrapNone/>
                      <wp:docPr id="247" name="Frame246"/>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52780" cy="175260"/>
                      <wp:effectExtent l="0" t="0" r="0" b="0"/>
                      <wp:wrapNone/>
                      <wp:docPr id="248" name="Frame247"/>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8"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59" w:type="dxa"/>
            <w:gridSpan w:val="2"/>
            <w:tcBorders/>
            <w:vAlign w:val="center"/>
          </w:tcPr>
          <w:p>
            <w:pPr>
              <w:pStyle w:val="TableContents"/>
              <w:bidi w:val="0"/>
              <w:spacing w:before="0" w:after="0"/>
              <w:ind w:left="0" w:right="0" w:hanging="0"/>
              <w:jc w:val="center"/>
              <w:rPr/>
            </w:pPr>
            <w:r>
              <w:rPr/>
              <w:t>​</w:t>
            </w:r>
          </w:p>
        </w:tc>
      </w:tr>
      <w:tr>
        <w:trPr/>
        <w:tc>
          <w:tcPr>
            <w:tcW w:w="73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8"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0"/>
              <w:ind w:left="0" w:right="0" w:hanging="0"/>
              <w:jc w:val="left"/>
              <w:rPr/>
            </w:pPr>
            <w:r>
              <w:rPr/>
              <w:t>​</w:t>
            </w:r>
          </w:p>
        </w:tc>
        <w:tc>
          <w:tcPr>
            <w:tcW w:w="125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r>
      <w:tr>
        <w:trPr/>
        <w:tc>
          <w:tcPr>
            <w:tcW w:w="73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12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73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pPr>
            <w:r>
              <w:rPr/>
              <w:t>​</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pPr>
            <w:r>
              <w:rPr/>
              <w:t>  ​</w:t>
            </w:r>
          </w:p>
        </w:tc>
      </w:tr>
      <w:tr>
        <w:trPr/>
        <w:tc>
          <w:tcPr>
            <w:tcW w:w="73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pPr>
            <w:r>
              <w:rPr/>
              <w:t>  ​</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pPr>
            <w:r>
              <w:rPr/>
              <w:t>  ​</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41,249</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36,788</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23,266</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23,221</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3,635</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3,738</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2,374</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1,976</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1,731</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72,500</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67,043</w:t>
            </w:r>
          </w:p>
        </w:tc>
      </w:tr>
      <w:tr>
        <w:trPr/>
        <w:tc>
          <w:tcPr>
            <w:tcW w:w="73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left"/>
              <w:rPr/>
            </w:pPr>
            <w:r>
              <w:rPr/>
              <w:t>​</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3,253</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3,508</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75,753</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70,551</w:t>
            </w:r>
          </w:p>
        </w:tc>
      </w:tr>
      <w:tr>
        <w:trPr/>
        <w:tc>
          <w:tcPr>
            <w:tcW w:w="739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pPr>
            <w:r>
              <w:rPr/>
              <w:t>  ​</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deficit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pPr>
            <w:r>
              <w:rPr/>
              <w:t>  ​</w:t>
            </w:r>
          </w:p>
        </w:tc>
      </w:tr>
      <w:tr>
        <w:trPr/>
        <w:tc>
          <w:tcPr>
            <w:tcW w:w="739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pPr>
            <w:r>
              <w:rPr/>
              <w:t>  ​</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pPr>
            <w:r>
              <w:rPr/>
              <w:t>  ​</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5,516</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4,635</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3,696</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5,635</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liability-current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3,182</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12,394</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10,518</w:t>
            </w:r>
          </w:p>
        </w:tc>
      </w:tr>
      <w:tr>
        <w:trPr/>
        <w:tc>
          <w:tcPr>
            <w:tcW w:w="739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pPr>
            <w:r>
              <w:rPr/>
              <w:t>​</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Long-term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pPr>
            <w:r>
              <w:rPr/>
              <w:t>​</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liability - long-term</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20,917</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24,561</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long-term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20,917</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24,561</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33,311</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35,079</w:t>
            </w:r>
          </w:p>
        </w:tc>
      </w:tr>
      <w:tr>
        <w:trPr/>
        <w:tc>
          <w:tcPr>
            <w:tcW w:w="73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pPr>
            <w:r>
              <w:rPr/>
              <w:t>  ​</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deficit: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pPr>
            <w:r>
              <w:rPr/>
              <w:t>  ​</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no par value; unlimited shares authorized; 35,034 shares issued and outstanding (2025</w:t>
              <w:noBreakHyphen/>
              <w:t>34,163)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193,190</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189,906</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75,257</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73,745</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(227,248)</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(229,422)</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stockholders’ deficit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42,442</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35,472</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deficit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75,753</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70,551</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823"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78740" cy="175260"/>
                      <wp:effectExtent l="0" t="0" r="0" b="0"/>
                      <wp:wrapNone/>
                      <wp:docPr id="249" name="Frame24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9215" cy="175260"/>
                      <wp:effectExtent l="0" t="0" r="0" b="0"/>
                      <wp:wrapNone/>
                      <wp:docPr id="250" name="Frame2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9215" cy="175260"/>
                      <wp:effectExtent l="0" t="0" r="0" b="0"/>
                      <wp:wrapNone/>
                      <wp:docPr id="251" name="Frame2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9215" cy="175260"/>
                      <wp:effectExtent l="0" t="0" r="0" b="0"/>
                      <wp:wrapNone/>
                      <wp:docPr id="252" name="Frame2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9215" cy="175260"/>
                      <wp:effectExtent l="0" t="0" r="0" b="0"/>
                      <wp:wrapNone/>
                      <wp:docPr id="253" name="Frame2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9215" cy="175260"/>
                      <wp:effectExtent l="0" t="0" r="0" b="0"/>
                      <wp:wrapNone/>
                      <wp:docPr id="254" name="Frame2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97790" cy="175260"/>
                      <wp:effectExtent l="0" t="0" r="0" b="0"/>
                      <wp:wrapNone/>
                      <wp:docPr id="255" name="Frame25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bl>
    <w:p>
      <w:pPr>
        <w:pStyle w:val="TextBody"/>
        <w:bidi w:val="0"/>
        <w:spacing w:before="0" w:after="0"/>
        <w:ind w:left="0" w:right="0" w:hanging="0"/>
        <w:jc w:val="center"/>
        <w:rPr>
          <w:shd w:fill="FFFFFF" w:val="clear"/>
        </w:rPr>
      </w:pPr>
      <w:r>
        <w:rPr>
          <w:shd w:fill="FFFFFF" w:val="clear"/>
        </w:rPr>
        <w:t>​</w:t>
      </w:r>
    </w:p>
    <w:p>
      <w:pPr>
        <w:pStyle w:val="TextBody"/>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Reconciliation of Net Income/(Loss) to Adjusted EBITDA (Non-GAAP)</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w:t>
      </w:r>
    </w:p>
    <w:p>
      <w:pPr>
        <w:pStyle w:val="TextBody"/>
        <w:bidi w:val="0"/>
        <w:spacing w:before="0" w:after="0"/>
        <w:ind w:left="0" w:right="0" w:hanging="0"/>
        <w:jc w:val="both"/>
        <w:rPr>
          <w:shd w:fill="FFFFFF" w:val="clear"/>
        </w:rPr>
      </w:pPr>
      <w:r>
        <w:rPr>
          <w:shd w:fill="FFFFFF" w:val="clear"/>
        </w:rPr>
        <w:t>​</w:t>
      </w:r>
    </w:p>
    <w:tbl>
      <w:tblPr>
        <w:tblW w:w="7380" w:type="dxa"/>
        <w:jc w:val="left"/>
        <w:tblInd w:w="0" w:type="dxa"/>
        <w:tblLayout w:type="fixed"/>
        <w:tblCellMar>
          <w:top w:w="0" w:type="dxa"/>
          <w:left w:w="0" w:type="dxa"/>
          <w:bottom w:w="0" w:type="dxa"/>
          <w:right w:w="0" w:type="dxa"/>
        </w:tblCellMar>
      </w:tblPr>
      <w:tblGrid>
        <w:gridCol w:w="3361"/>
        <w:gridCol w:w="231"/>
        <w:gridCol w:w="624"/>
        <w:gridCol w:w="116"/>
        <w:gridCol w:w="226"/>
        <w:gridCol w:w="740"/>
        <w:gridCol w:w="109"/>
        <w:gridCol w:w="221"/>
        <w:gridCol w:w="634"/>
        <w:gridCol w:w="115"/>
        <w:gridCol w:w="223"/>
        <w:gridCol w:w="780"/>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34235" cy="175260"/>
                      <wp:effectExtent l="0" t="0" r="0" b="0"/>
                      <wp:wrapNone/>
                      <wp:docPr id="256" name="Frame255"/>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46685" cy="175260"/>
                      <wp:effectExtent l="0" t="0" r="0" b="0"/>
                      <wp:wrapNone/>
                      <wp:docPr id="257" name="Frame256"/>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396240" cy="175260"/>
                      <wp:effectExtent l="0" t="0" r="0" b="0"/>
                      <wp:wrapNone/>
                      <wp:docPr id="258" name="Frame257"/>
                      <a:graphic xmlns:a="http://schemas.openxmlformats.org/drawingml/2006/main">
                        <a:graphicData uri="http://schemas.microsoft.com/office/word/2010/wordprocessingShape">
                          <wps:wsp>
                            <wps:cNvSpPr txBox="1"/>
                            <wps:spPr>
                              <a:xfrm>
                                <a:off x="0" y="0"/>
                                <a:ext cx="396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73660" cy="175260"/>
                      <wp:effectExtent l="0" t="0" r="0" b="0"/>
                      <wp:wrapNone/>
                      <wp:docPr id="259" name="Frame258"/>
                      <a:graphic xmlns:a="http://schemas.openxmlformats.org/drawingml/2006/main">
                        <a:graphicData uri="http://schemas.microsoft.com/office/word/2010/wordprocessingShape">
                          <wps:wsp>
                            <wps:cNvSpPr txBox="1"/>
                            <wps:spPr>
                              <a:xfrm>
                                <a:off x="0" y="0"/>
                                <a:ext cx="73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43510" cy="175260"/>
                      <wp:effectExtent l="0" t="0" r="0" b="0"/>
                      <wp:wrapNone/>
                      <wp:docPr id="260" name="Frame25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69900" cy="175260"/>
                      <wp:effectExtent l="0" t="0" r="0" b="0"/>
                      <wp:wrapNone/>
                      <wp:docPr id="261" name="Frame260"/>
                      <a:graphic xmlns:a="http://schemas.openxmlformats.org/drawingml/2006/main">
                        <a:graphicData uri="http://schemas.microsoft.com/office/word/2010/wordprocessingShape">
                          <wps:wsp>
                            <wps:cNvSpPr txBox="1"/>
                            <wps:spPr>
                              <a:xfrm>
                                <a:off x="0" y="0"/>
                                <a:ext cx="469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9215" cy="175260"/>
                      <wp:effectExtent l="0" t="0" r="0" b="0"/>
                      <wp:wrapNone/>
                      <wp:docPr id="262" name="Frame2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40335" cy="175260"/>
                      <wp:effectExtent l="0" t="0" r="0" b="0"/>
                      <wp:wrapNone/>
                      <wp:docPr id="263" name="Frame262"/>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402590" cy="175260"/>
                      <wp:effectExtent l="0" t="0" r="0" b="0"/>
                      <wp:wrapNone/>
                      <wp:docPr id="264" name="Frame263"/>
                      <a:graphic xmlns:a="http://schemas.openxmlformats.org/drawingml/2006/main">
                        <a:graphicData uri="http://schemas.microsoft.com/office/word/2010/wordprocessingShape">
                          <wps:wsp>
                            <wps:cNvSpPr txBox="1"/>
                            <wps:spPr>
                              <a:xfrm>
                                <a:off x="0" y="0"/>
                                <a:ext cx="402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73025" cy="175260"/>
                      <wp:effectExtent l="0" t="0" r="0" b="0"/>
                      <wp:wrapNone/>
                      <wp:docPr id="265" name="Frame264"/>
                      <a:graphic xmlns:a="http://schemas.openxmlformats.org/drawingml/2006/main">
                        <a:graphicData uri="http://schemas.microsoft.com/office/word/2010/wordprocessingShape">
                          <wps:wsp>
                            <wps:cNvSpPr txBox="1"/>
                            <wps:spPr>
                              <a:xfrm>
                                <a:off x="0" y="0"/>
                                <a:ext cx="73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41605" cy="175260"/>
                      <wp:effectExtent l="0" t="0" r="0" b="0"/>
                      <wp:wrapNone/>
                      <wp:docPr id="266" name="Frame265"/>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95300" cy="175260"/>
                      <wp:effectExtent l="0" t="0" r="0" b="0"/>
                      <wp:wrapNone/>
                      <wp:docPr id="267" name="Frame266"/>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0"/>
              <w:ind w:left="0" w:right="0" w:hanging="0"/>
              <w:jc w:val="left"/>
              <w:rPr/>
            </w:pPr>
            <w:r>
              <w:rPr/>
              <w:t>​</w:t>
            </w:r>
          </w:p>
        </w:tc>
        <w:tc>
          <w:tcPr>
            <w:tcW w:w="193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109" w:type="dxa"/>
            <w:tcBorders/>
            <w:vAlign w:val="center"/>
          </w:tcPr>
          <w:p>
            <w:pPr>
              <w:pStyle w:val="TableContents"/>
              <w:bidi w:val="0"/>
              <w:spacing w:before="0" w:after="0"/>
              <w:ind w:left="0" w:right="0" w:hanging="0"/>
              <w:jc w:val="center"/>
              <w:rPr/>
            </w:pPr>
            <w:r>
              <w:rPr/>
              <w:t>​</w:t>
            </w:r>
          </w:p>
        </w:tc>
        <w:tc>
          <w:tcPr>
            <w:tcW w:w="221" w:type="dxa"/>
            <w:tcBorders/>
            <w:vAlign w:val="center"/>
          </w:tcPr>
          <w:p>
            <w:pPr>
              <w:pStyle w:val="TableContents"/>
              <w:bidi w:val="0"/>
              <w:spacing w:before="0" w:after="0"/>
              <w:ind w:left="0" w:right="0" w:hanging="0"/>
              <w:jc w:val="left"/>
              <w:rPr/>
            </w:pPr>
            <w:r>
              <w:rPr/>
              <w:t>​</w:t>
            </w:r>
          </w:p>
        </w:tc>
        <w:tc>
          <w:tcPr>
            <w:tcW w:w="175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3361" w:type="dxa"/>
            <w:tcBorders/>
            <w:vAlign w:val="center"/>
          </w:tcPr>
          <w:p>
            <w:pPr>
              <w:pStyle w:val="TableContents"/>
              <w:bidi w:val="0"/>
              <w:spacing w:before="0" w:after="0"/>
              <w:ind w:left="0" w:right="0" w:hanging="0"/>
              <w:jc w:val="left"/>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116" w:type="dxa"/>
            <w:tcBorders/>
            <w:vAlign w:val="center"/>
          </w:tcPr>
          <w:p>
            <w:pPr>
              <w:pStyle w:val="TableContents"/>
              <w:bidi w:val="0"/>
              <w:spacing w:before="0" w:after="0"/>
              <w:ind w:left="0" w:right="0" w:hanging="0"/>
              <w:jc w:val="center"/>
              <w:rPr/>
            </w:pPr>
            <w:r>
              <w:rPr/>
              <w:t>​</w:t>
            </w:r>
          </w:p>
        </w:tc>
        <w:tc>
          <w:tcPr>
            <w:tcW w:w="96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109"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115" w:type="dxa"/>
            <w:tcBorders/>
            <w:vAlign w:val="center"/>
          </w:tcPr>
          <w:p>
            <w:pPr>
              <w:pStyle w:val="TableContents"/>
              <w:bidi w:val="0"/>
              <w:spacing w:before="0" w:after="0"/>
              <w:ind w:left="0" w:right="0" w:hanging="0"/>
              <w:jc w:val="center"/>
              <w:rPr/>
            </w:pPr>
            <w:r>
              <w:rPr/>
              <w:t>​</w:t>
            </w:r>
          </w:p>
        </w:tc>
        <w:tc>
          <w:tcPr>
            <w:tcW w:w="1003"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3361" w:type="dxa"/>
            <w:tcBorders/>
            <w:vAlign w:val="center"/>
          </w:tcPr>
          <w:p>
            <w:pPr>
              <w:pStyle w:val="TableContents"/>
              <w:bidi w:val="0"/>
              <w:spacing w:before="0" w:after="0"/>
              <w:ind w:left="0" w:right="0" w:hanging="0"/>
              <w:jc w:val="left"/>
              <w:rPr/>
            </w:pPr>
            <w:r>
              <w:rPr/>
              <w:t>​</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16" w:type="dxa"/>
            <w:tcBorders/>
            <w:vAlign w:val="center"/>
          </w:tcPr>
          <w:p>
            <w:pPr>
              <w:pStyle w:val="TableContents"/>
              <w:bidi w:val="0"/>
              <w:spacing w:before="0" w:after="0"/>
              <w:ind w:left="0" w:right="0" w:hanging="0"/>
              <w:jc w:val="center"/>
              <w:rPr/>
            </w:pPr>
            <w:r>
              <w:rPr/>
              <w:t>​</w:t>
            </w:r>
          </w:p>
        </w:tc>
        <w:tc>
          <w:tcPr>
            <w:tcW w:w="9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0"/>
              <w:ind w:left="0" w:right="0" w:hanging="0"/>
              <w:jc w:val="center"/>
              <w:rPr/>
            </w:pPr>
            <w:r>
              <w:rPr/>
              <w:t>​</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15" w:type="dxa"/>
            <w:tcBorders/>
            <w:vAlign w:val="center"/>
          </w:tcPr>
          <w:p>
            <w:pPr>
              <w:pStyle w:val="TableContents"/>
              <w:bidi w:val="0"/>
              <w:spacing w:before="0" w:after="0"/>
              <w:ind w:left="0" w:right="0" w:hanging="0"/>
              <w:jc w:val="center"/>
              <w:rPr/>
            </w:pPr>
            <w:r>
              <w:rPr/>
              <w:t>​</w:t>
            </w:r>
          </w:p>
        </w:tc>
        <w:tc>
          <w:tcPr>
            <w:tcW w:w="10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1,973</w:t>
            </w:r>
          </w:p>
        </w:tc>
        <w:tc>
          <w:tcPr>
            <w:tcW w:w="11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(3,152)</w:t>
            </w:r>
          </w:p>
        </w:tc>
        <w:tc>
          <w:tcPr>
            <w:tcW w:w="109" w:type="dxa"/>
            <w:tcBorders/>
            <w:shd w:fill="CCEEFF" w:val="clear"/>
            <w:vAlign w:val="center"/>
          </w:tcPr>
          <w:p>
            <w:pPr>
              <w:pStyle w:val="TableContents"/>
              <w:bidi w:val="0"/>
              <w:spacing w:before="0" w:after="0"/>
              <w:ind w:left="0" w:right="0" w:hanging="0"/>
              <w:jc w:val="righ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2,174</w:t>
            </w:r>
          </w:p>
        </w:tc>
        <w:tc>
          <w:tcPr>
            <w:tcW w:w="115"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(4,317)</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231"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11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7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right"/>
              <w:rPr/>
            </w:pPr>
            <w:r>
              <w:rPr/>
              <w:t>​</w:t>
            </w:r>
          </w:p>
        </w:tc>
        <w:tc>
          <w:tcPr>
            <w:tcW w:w="221" w:type="dxa"/>
            <w:tcBorders/>
            <w:vAlign w:val="center"/>
          </w:tcPr>
          <w:p>
            <w:pPr>
              <w:pStyle w:val="TableContents"/>
              <w:bidi w:val="0"/>
              <w:spacing w:before="0" w:after="0"/>
              <w:ind w:left="0" w:right="0" w:hanging="0"/>
              <w:jc w:val="right"/>
              <w:rPr/>
            </w:pPr>
            <w:r>
              <w:rPr/>
              <w:t>​</w:t>
            </w:r>
          </w:p>
        </w:tc>
        <w:tc>
          <w:tcPr>
            <w:tcW w:w="6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115"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 (a)</w:t>
            </w:r>
          </w:p>
        </w:tc>
        <w:tc>
          <w:tcPr>
            <w:tcW w:w="231"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w:t>
            </w:r>
          </w:p>
        </w:tc>
        <w:tc>
          <w:tcPr>
            <w:tcW w:w="11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7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21" w:type="dxa"/>
            <w:tcBorders/>
            <w:shd w:fill="CCEEFF" w:val="clear"/>
            <w:vAlign w:val="center"/>
          </w:tcPr>
          <w:p>
            <w:pPr>
              <w:pStyle w:val="TableContents"/>
              <w:bidi w:val="0"/>
              <w:spacing w:before="0" w:after="0"/>
              <w:ind w:left="0" w:right="0" w:hanging="0"/>
              <w:jc w:val="right"/>
              <w:rPr/>
            </w:pPr>
            <w:r>
              <w:rPr/>
              <w:t>​</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w:t>
            </w:r>
          </w:p>
        </w:tc>
        <w:tc>
          <w:tcPr>
            <w:tcW w:w="115"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231"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c>
          <w:tcPr>
            <w:tcW w:w="11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7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109" w:type="dxa"/>
            <w:tcBorders/>
            <w:vAlign w:val="center"/>
          </w:tcPr>
          <w:p>
            <w:pPr>
              <w:pStyle w:val="TableContents"/>
              <w:bidi w:val="0"/>
              <w:spacing w:before="0" w:after="0"/>
              <w:ind w:left="0" w:right="0" w:hanging="0"/>
              <w:jc w:val="right"/>
              <w:rPr/>
            </w:pPr>
            <w:r>
              <w:rPr/>
              <w:t>​</w:t>
            </w:r>
          </w:p>
        </w:tc>
        <w:tc>
          <w:tcPr>
            <w:tcW w:w="221" w:type="dxa"/>
            <w:tcBorders/>
            <w:vAlign w:val="center"/>
          </w:tcPr>
          <w:p>
            <w:pPr>
              <w:pStyle w:val="TableContents"/>
              <w:bidi w:val="0"/>
              <w:spacing w:before="0" w:after="0"/>
              <w:ind w:left="0" w:right="0" w:hanging="0"/>
              <w:jc w:val="right"/>
              <w:rPr/>
            </w:pPr>
            <w:r>
              <w:rPr/>
              <w:t>​</w:t>
            </w:r>
          </w:p>
        </w:tc>
        <w:tc>
          <w:tcPr>
            <w:tcW w:w="6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w:t>
            </w:r>
          </w:p>
        </w:tc>
        <w:tc>
          <w:tcPr>
            <w:tcW w:w="115"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231"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1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7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w:t>
            </w:r>
          </w:p>
        </w:tc>
        <w:tc>
          <w:tcPr>
            <w:tcW w:w="109" w:type="dxa"/>
            <w:tcBorders/>
            <w:shd w:fill="CCEEFF" w:val="clear"/>
            <w:vAlign w:val="center"/>
          </w:tcPr>
          <w:p>
            <w:pPr>
              <w:pStyle w:val="TableContents"/>
              <w:bidi w:val="0"/>
              <w:spacing w:before="0" w:after="0"/>
              <w:ind w:left="0" w:right="0" w:hanging="0"/>
              <w:jc w:val="right"/>
              <w:rPr/>
            </w:pPr>
            <w:r>
              <w:rPr/>
              <w:t>​</w:t>
            </w:r>
          </w:p>
        </w:tc>
        <w:tc>
          <w:tcPr>
            <w:tcW w:w="221" w:type="dxa"/>
            <w:tcBorders/>
            <w:shd w:fill="CCEEFF" w:val="clear"/>
            <w:vAlign w:val="center"/>
          </w:tcPr>
          <w:p>
            <w:pPr>
              <w:pStyle w:val="TableContents"/>
              <w:bidi w:val="0"/>
              <w:spacing w:before="0" w:after="0"/>
              <w:ind w:left="0" w:right="0" w:hanging="0"/>
              <w:jc w:val="right"/>
              <w:rPr/>
            </w:pPr>
            <w:r>
              <w:rPr/>
              <w:t>​</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15"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231"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7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09" w:type="dxa"/>
            <w:tcBorders/>
            <w:vAlign w:val="center"/>
          </w:tcPr>
          <w:p>
            <w:pPr>
              <w:pStyle w:val="TableContents"/>
              <w:bidi w:val="0"/>
              <w:spacing w:before="0" w:after="0"/>
              <w:ind w:left="0" w:right="0" w:hanging="0"/>
              <w:jc w:val="right"/>
              <w:rPr/>
            </w:pPr>
            <w:r>
              <w:rPr/>
              <w:t>​</w:t>
            </w:r>
          </w:p>
        </w:tc>
        <w:tc>
          <w:tcPr>
            <w:tcW w:w="221" w:type="dxa"/>
            <w:tcBorders/>
            <w:vAlign w:val="center"/>
          </w:tcPr>
          <w:p>
            <w:pPr>
              <w:pStyle w:val="TableContents"/>
              <w:bidi w:val="0"/>
              <w:spacing w:before="0" w:after="0"/>
              <w:ind w:left="0" w:right="0" w:hanging="0"/>
              <w:jc w:val="right"/>
              <w:rPr/>
            </w:pPr>
            <w:r>
              <w:rPr/>
              <w:t>​</w:t>
            </w:r>
          </w:p>
        </w:tc>
        <w:tc>
          <w:tcPr>
            <w:tcW w:w="6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5"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based compensation expense (b)</w:t>
            </w:r>
          </w:p>
        </w:tc>
        <w:tc>
          <w:tcPr>
            <w:tcW w:w="231"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1,774</w:t>
            </w:r>
          </w:p>
        </w:tc>
        <w:tc>
          <w:tcPr>
            <w:tcW w:w="11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7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1,494</w:t>
            </w:r>
          </w:p>
        </w:tc>
        <w:tc>
          <w:tcPr>
            <w:tcW w:w="109" w:type="dxa"/>
            <w:tcBorders/>
            <w:shd w:fill="CCEEFF" w:val="clear"/>
            <w:vAlign w:val="center"/>
          </w:tcPr>
          <w:p>
            <w:pPr>
              <w:pStyle w:val="TableContents"/>
              <w:bidi w:val="0"/>
              <w:spacing w:before="0" w:after="0"/>
              <w:ind w:left="0" w:right="0" w:hanging="0"/>
              <w:jc w:val="right"/>
              <w:rPr/>
            </w:pPr>
            <w:r>
              <w:rPr/>
              <w:t>​</w:t>
            </w:r>
          </w:p>
        </w:tc>
        <w:tc>
          <w:tcPr>
            <w:tcW w:w="221" w:type="dxa"/>
            <w:tcBorders/>
            <w:shd w:fill="CCEEFF" w:val="clear"/>
            <w:vAlign w:val="center"/>
          </w:tcPr>
          <w:p>
            <w:pPr>
              <w:pStyle w:val="TableContents"/>
              <w:bidi w:val="0"/>
              <w:spacing w:before="0" w:after="0"/>
              <w:ind w:left="0" w:right="0" w:hanging="0"/>
              <w:jc w:val="right"/>
              <w:rPr/>
            </w:pPr>
            <w:r>
              <w:rPr/>
              <w:t>​</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2,764</w:t>
            </w:r>
          </w:p>
        </w:tc>
        <w:tc>
          <w:tcPr>
            <w:tcW w:w="115"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2,292</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securities</w:t>
            </w:r>
          </w:p>
        </w:tc>
        <w:tc>
          <w:tcPr>
            <w:tcW w:w="231"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7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before="0" w:after="0"/>
              <w:ind w:left="0" w:right="0" w:hanging="0"/>
              <w:jc w:val="right"/>
              <w:rPr/>
            </w:pPr>
            <w:r>
              <w:rPr/>
              <w:t>​</w:t>
            </w:r>
          </w:p>
        </w:tc>
        <w:tc>
          <w:tcPr>
            <w:tcW w:w="221" w:type="dxa"/>
            <w:tcBorders/>
            <w:vAlign w:val="center"/>
          </w:tcPr>
          <w:p>
            <w:pPr>
              <w:pStyle w:val="TableContents"/>
              <w:bidi w:val="0"/>
              <w:spacing w:before="0" w:after="0"/>
              <w:ind w:left="0" w:right="0" w:hanging="0"/>
              <w:jc w:val="right"/>
              <w:rPr/>
            </w:pPr>
            <w:r>
              <w:rPr/>
              <w:t>​</w:t>
            </w:r>
          </w:p>
        </w:tc>
        <w:tc>
          <w:tcPr>
            <w:tcW w:w="6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5"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foreign exchange gain/(loss)</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16" w:type="dxa"/>
            <w:tcBorders/>
            <w:shd w:fill="CCEEFF" w:val="clear"/>
            <w:vAlign w:val="center"/>
          </w:tcPr>
          <w:p>
            <w:pPr>
              <w:pStyle w:val="TableContents"/>
              <w:bidi w:val="0"/>
              <w:spacing w:before="0" w:after="0"/>
              <w:ind w:left="0" w:right="0" w:hanging="0"/>
              <w:jc w:val="righ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109" w:type="dxa"/>
            <w:tcBorders/>
            <w:shd w:fill="CCEEFF" w:val="clear"/>
            <w:vAlign w:val="center"/>
          </w:tcPr>
          <w:p>
            <w:pPr>
              <w:pStyle w:val="TableContents"/>
              <w:bidi w:val="0"/>
              <w:spacing w:before="0" w:after="0"/>
              <w:ind w:left="0" w:right="0" w:hanging="0"/>
              <w:jc w:val="righ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115" w:type="dxa"/>
            <w:tcBorders/>
            <w:shd w:fill="CCEEFF" w:val="clear"/>
            <w:vAlign w:val="center"/>
          </w:tcPr>
          <w:p>
            <w:pPr>
              <w:pStyle w:val="TableContents"/>
              <w:bidi w:val="0"/>
              <w:spacing w:before="0" w:after="0"/>
              <w:ind w:left="0" w:right="0" w:hanging="0"/>
              <w:jc w:val="righ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2,801</w:t>
            </w:r>
          </w:p>
        </w:tc>
        <w:tc>
          <w:tcPr>
            <w:tcW w:w="116" w:type="dxa"/>
            <w:tcBorders/>
            <w:vAlign w:val="center"/>
          </w:tcPr>
          <w:p>
            <w:pPr>
              <w:pStyle w:val="TableContents"/>
              <w:bidi w:val="0"/>
              <w:spacing w:before="0" w:after="0"/>
              <w:ind w:left="0" w:right="0" w:hanging="0"/>
              <w:jc w:val="righ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(1,238)</w:t>
            </w:r>
          </w:p>
        </w:tc>
        <w:tc>
          <w:tcPr>
            <w:tcW w:w="109" w:type="dxa"/>
            <w:tcBorders/>
            <w:vAlign w:val="center"/>
          </w:tcPr>
          <w:p>
            <w:pPr>
              <w:pStyle w:val="TableContents"/>
              <w:bidi w:val="0"/>
              <w:spacing w:before="0" w:after="0"/>
              <w:ind w:left="0" w:right="0" w:hanging="0"/>
              <w:jc w:val="righ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3,672</w:t>
            </w:r>
          </w:p>
        </w:tc>
        <w:tc>
          <w:tcPr>
            <w:tcW w:w="115" w:type="dxa"/>
            <w:tcBorders/>
            <w:vAlign w:val="center"/>
          </w:tcPr>
          <w:p>
            <w:pPr>
              <w:pStyle w:val="TableContents"/>
              <w:bidi w:val="0"/>
              <w:spacing w:before="0" w:after="0"/>
              <w:ind w:left="0" w:right="0" w:hanging="0"/>
              <w:jc w:val="righ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(1,248)</w:t>
            </w:r>
          </w:p>
        </w:tc>
      </w:tr>
    </w:tbl>
    <w:p>
      <w:pPr>
        <w:pStyle w:val="TextBody"/>
        <w:bidi w:val="0"/>
        <w:spacing w:before="0" w:after="0"/>
        <w:ind w:left="0" w:right="0" w:hanging="0"/>
        <w:jc w:val="both"/>
        <w:rPr>
          <w:shd w:fill="FFFFFF" w:val="clear"/>
        </w:rPr>
      </w:pPr>
      <w:r>
        <w:rPr>
          <w:shd w:fill="FFFFFF" w:val="clear"/>
        </w:rPr>
        <w:t>​</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Represents the portion of GAAP revenue related to “material rights” under the Company’s PEDMARK</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license with Norgine that is non-cash in the current period and was previously recorded as deferred licensing revenue. Under ASC 606, a portion of the upfront consideration received under this agreement was allocated to a material right and recorded as deferred revenue (contract liability), which is subsequently recognized as revenue as PEDMARK</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units are shipped to Norgine and the related material right is satisfied. These amounts are included in GAAP revenue in the periods presented, and the Company continues to apply GAAP recognition and measurement for all revenue, including this component. The adjustment is intended solely to remove this non-cash amortization of previously deferred licensing revenue from Adjusted EBITDA, as management believes excluding this item provides a more comparable view of period-over-period cash operating performance from the Company’s commercial activities.</w:t>
            </w:r>
          </w:p>
        </w:tc>
      </w:tr>
    </w:tbl>
    <w:p>
      <w:pPr>
        <w:pStyle w:val="TextBody"/>
        <w:shd w:fill="FFFFFF" w:val="clear"/>
        <w:bidi w:val="0"/>
        <w:spacing w:before="0" w:after="0"/>
        <w:ind w:left="360" w:right="0" w:hanging="0"/>
        <w:jc w:val="left"/>
        <w:rPr/>
      </w:pPr>
      <w:r>
        <w:rPr/>
        <w:t>​</w:t>
      </w:r>
    </w:p>
    <w:tbl>
      <w:tblPr>
        <w:tblW w:w="10205" w:type="dxa"/>
        <w:jc w:val="left"/>
        <w:tblInd w:w="0" w:type="dxa"/>
        <w:shd w:fill="FFFFFF" w:val="clear"/>
        <w:tblLayout w:type="fixed"/>
        <w:tblCellMar>
          <w:top w:w="0" w:type="dxa"/>
          <w:left w:w="0" w:type="dxa"/>
          <w:bottom w:w="0" w:type="dxa"/>
          <w:right w:w="0" w:type="dxa"/>
        </w:tblCellMar>
      </w:tblPr>
      <w:tblGrid>
        <w:gridCol w:w="232"/>
        <w:gridCol w:w="9973"/>
      </w:tblGrid>
      <w:tr>
        <w:trPr/>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share-based compensation expense to account for stock options, restricted stock, and other stock awards over their respective vesting periods.</w:t>
            </w:r>
          </w:p>
        </w:tc>
      </w:tr>
    </w:tbl>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sz w:val="24"/>
          <w:shd w:fill="FFFFFF" w:val="clear"/>
        </w:rPr>
      </w:pPr>
      <w:r>
        <w:rPr>
          <w:rFonts w:ascii="Times New Roman;Times;serif" w:hAnsi="Times New Roman;Times;serif"/>
          <w:b/>
          <w:sz w:val="24"/>
          <w:shd w:fill="FFFFFF" w:val="clear"/>
        </w:rPr>
        <w:t>About Cisplatin-Induced Ototoxicity</w:t>
      </w:r>
    </w:p>
    <w:p>
      <w:pPr>
        <w:pStyle w:val="TextBody"/>
        <w:bidi w:val="0"/>
        <w:spacing w:before="0" w:after="0"/>
        <w:ind w:left="0" w:right="0" w:hanging="0"/>
        <w:jc w:val="both"/>
        <w:rPr/>
      </w:pPr>
      <w:r>
        <w:rPr>
          <w:rFonts w:ascii="Times New Roman;Times;serif" w:hAnsi="Times New Roman;Times;serif"/>
          <w:sz w:val="24"/>
          <w:shd w:fill="FFFFFF" w:val="clear"/>
        </w:rPr>
        <w:t>Cisplatin and other platinum-based chemotherapies are widely used to treat solid tumors and have been vital in improving survival rates. Unfortunately, these life-saving treatments often result in permanent, irreversible hearing loss, also known as ototoxicity.</w:t>
      </w:r>
      <w:hyperlink w:anchor="endnote-2">
        <w:r>
          <w:rPr>
            <w:rStyle w:val="InternetLink"/>
            <w:rFonts w:ascii="Times New Roman;Times;serif" w:hAnsi="Times New Roman;Times;serif"/>
            <w:sz w:val="18"/>
            <w:shd w:fill="FFFFFF" w:val="clear"/>
          </w:rPr>
          <w:t>i</w:t>
        </w:r>
      </w:hyperlink>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pPr>
      <w:r>
        <w:rPr>
          <w:rFonts w:ascii="Times New Roman;Times;serif" w:hAnsi="Times New Roman;Times;serif"/>
          <w:sz w:val="24"/>
          <w:shd w:fill="FFFFFF" w:val="clear"/>
        </w:rPr>
        <w:t>Hearing loss from cisplatin treatment is not rare. Studies show that between 60-90% of patients treated with cisplatin may develop hearing loss, depending upon the dose and duration of chemotherapy.</w:t>
      </w:r>
      <w:hyperlink w:anchor="endnote-3">
        <w:r>
          <w:rPr>
            <w:rStyle w:val="InternetLink"/>
            <w:rFonts w:ascii="Times New Roman;Times;serif" w:hAnsi="Times New Roman;Times;serif"/>
            <w:sz w:val="18"/>
            <w:shd w:fill="FFFFFF" w:val="clear"/>
          </w:rPr>
          <w:t>ii</w:t>
        </w:r>
      </w:hyperlink>
      <w:r>
        <w:rPr>
          <w:rFonts w:ascii="Times New Roman;Times;serif" w:hAnsi="Times New Roman;Times;serif"/>
          <w:sz w:val="20"/>
          <w:shd w:fill="FFFFFF" w:val="clear"/>
        </w:rPr>
        <w:t xml:space="preserve"> </w:t>
      </w:r>
      <w:r>
        <w:rPr>
          <w:rFonts w:ascii="Times New Roman;Times;serif" w:hAnsi="Times New Roman;Times;serif"/>
          <w:sz w:val="24"/>
          <w:shd w:fill="FFFFFF" w:val="clear"/>
        </w:rPr>
        <w:t>Many of those treated with cisplatin will require lifelong hearing aids or cochlear implants, which can be helpful for some, but do not reverse the hearing loss and can be costly over time.</w:t>
      </w:r>
      <w:hyperlink w:anchor="endnote-4">
        <w:r>
          <w:rPr>
            <w:rStyle w:val="InternetLink"/>
            <w:rFonts w:ascii="Times New Roman;Times;serif" w:hAnsi="Times New Roman;Times;serif"/>
            <w:sz w:val="18"/>
            <w:shd w:fill="FFFFFF" w:val="clear"/>
          </w:rPr>
          <w:t>iii</w:t>
        </w:r>
      </w:hyperlink>
      <w:r>
        <w:rPr>
          <w:rFonts w:ascii="Times New Roman;Times;serif" w:hAnsi="Times New Roman;Times;serif"/>
          <w:sz w:val="20"/>
          <w:shd w:fill="FFFFFF" w:val="clear"/>
        </w:rPr>
        <w:t> </w:t>
      </w:r>
      <w:r>
        <w:rPr>
          <w:rFonts w:ascii="Times New Roman;Times;serif" w:hAnsi="Times New Roman;Times;serif"/>
          <w:sz w:val="24"/>
          <w:shd w:fill="FFFFFF" w:val="clear"/>
        </w:rPr>
        <w:t>Treatment-induced hearing loss can reduce quality of survivorship as it impacts many aspects of life, such as speech and language skills, academic performance, social-emotional development, career potential and the ability to live independently.</w:t>
      </w:r>
      <w:hyperlink w:anchor="endnote-5">
        <w:r>
          <w:rPr>
            <w:rStyle w:val="InternetLink"/>
            <w:rFonts w:ascii="Times New Roman;Times;serif" w:hAnsi="Times New Roman;Times;serif"/>
            <w:sz w:val="18"/>
            <w:shd w:fill="FFFFFF" w:val="clear"/>
          </w:rPr>
          <w:t>iv</w:t>
        </w:r>
      </w:hyperlink>
      <w:r>
        <w:rPr>
          <w:rFonts w:ascii="Times New Roman;Times;serif" w:hAnsi="Times New Roman;Times;serif"/>
          <w:sz w:val="18"/>
          <w:shd w:fill="FFFFFF" w:val="clear"/>
        </w:rPr>
        <w:t>,</w:t>
      </w:r>
      <w:hyperlink w:anchor="endnote-6">
        <w:r>
          <w:rPr>
            <w:rStyle w:val="InternetLink"/>
            <w:rFonts w:ascii="Times New Roman;Times;serif" w:hAnsi="Times New Roman;Times;serif"/>
            <w:sz w:val="18"/>
            <w:shd w:fill="FFFFFF" w:val="clear"/>
          </w:rPr>
          <w:t>v</w:t>
        </w:r>
      </w:hyperlink>
      <w:r>
        <w:rPr>
          <w:rFonts w:ascii="Times New Roman;Times;serif" w:hAnsi="Times New Roman;Times;serif"/>
          <w:sz w:val="20"/>
          <w:shd w:fill="FFFFFF" w:val="clear"/>
        </w:rPr>
        <w:t> </w:t>
      </w:r>
      <w:r>
        <w:rPr>
          <w:rFonts w:ascii="Times New Roman;Times;serif" w:hAnsi="Times New Roman;Times;serif"/>
          <w:sz w:val="24"/>
          <w:shd w:fill="FFFFFF" w:val="clear"/>
        </w:rPr>
        <w:t>While audiologic monitoring is recommended to help manage ototoxicity, it is currently underutilized in certain cancer patient populations.</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4"/>
          <w:shd w:fill="FFFFFF" w:val="clear"/>
        </w:rPr>
        <w:t>PEDMARK</w:t>
      </w:r>
      <w:r>
        <w:rPr>
          <w:rFonts w:ascii="Times New Roman;Times;serif" w:hAnsi="Times New Roman;Times;serif"/>
          <w:b/>
          <w:sz w:val="18"/>
          <w:shd w:fill="FFFFFF" w:val="clear"/>
        </w:rPr>
        <w:t>®</w:t>
      </w:r>
      <w:r>
        <w:rPr>
          <w:rFonts w:ascii="Times New Roman;Times;serif" w:hAnsi="Times New Roman;Times;serif"/>
          <w:sz w:val="20"/>
          <w:shd w:fill="FFFFFF" w:val="clear"/>
        </w:rPr>
        <w:t> </w:t>
      </w:r>
      <w:r>
        <w:rPr>
          <w:rFonts w:ascii="Times New Roman;Times;serif" w:hAnsi="Times New Roman;Times;serif"/>
          <w:b/>
          <w:sz w:val="24"/>
          <w:shd w:fill="FFFFFF" w:val="clear"/>
        </w:rPr>
        <w:t>(sodium thiosulfate injection)</w:t>
      </w:r>
    </w:p>
    <w:p>
      <w:pPr>
        <w:pStyle w:val="TextBody"/>
        <w:bidi w:val="0"/>
        <w:spacing w:before="0" w:after="0"/>
        <w:ind w:left="0" w:right="0" w:hanging="0"/>
        <w:jc w:val="both"/>
        <w:rPr/>
      </w:pPr>
      <w:r>
        <w:rPr>
          <w:shd w:fill="FFFFFF" w:val="clear"/>
        </w:rPr>
        <w:t>​</w:t>
      </w:r>
      <w:r>
        <w:rPr>
          <w:rFonts w:ascii="Times New Roman;Times;serif" w:hAnsi="Times New Roman;Times;serif"/>
          <w:sz w:val="24"/>
          <w:shd w:fill="FFFFFF" w:val="clear"/>
        </w:rPr>
        <w:br/>
        <w:t>PEDMARK</w:t>
      </w:r>
      <w:r>
        <w:rPr>
          <w:rFonts w:ascii="Times New Roman;Times;serif" w:hAnsi="Times New Roman;Times;serif"/>
          <w:sz w:val="18"/>
          <w:shd w:fill="FFFFFF" w:val="clear"/>
        </w:rPr>
        <w:t>®</w:t>
      </w:r>
      <w:r>
        <w:rPr>
          <w:rFonts w:ascii="Times New Roman;Times;serif" w:hAnsi="Times New Roman;Times;serif"/>
          <w:sz w:val="20"/>
          <w:shd w:fill="FFFFFF" w:val="clear"/>
        </w:rPr>
        <w:t> </w:t>
      </w:r>
      <w:r>
        <w:rPr>
          <w:rFonts w:ascii="Times New Roman;Times;serif" w:hAnsi="Times New Roman;Times;serif"/>
          <w:sz w:val="24"/>
          <w:shd w:fill="FFFFFF" w:val="clear"/>
        </w:rPr>
        <w:t>is the first and only U.S. Food and Drug Administration (FDA) approved therapy indicated to reduce the risk of ototoxicity associated with cisplatin treatment in pediatric patients 1 month of age and older with localized, non-metastatic, solid tumors. It is a unique formulation of sodium thiosulfate in single-dose, ready-to-use vials for intravenous use in pediatric patients. PEDMARK is also the first and only therapeutic agent with proven efficacy and safety data with an established dosing regimen, across two open-label, randomized Phase 3 clinical studies, the Children’s Oncology Group (COG) Protocol ACCL0431 and SIOPEL 6.</w:t>
      </w:r>
    </w:p>
    <w:p>
      <w:pPr>
        <w:pStyle w:val="TextBody"/>
        <w:bidi w:val="0"/>
        <w:spacing w:before="0" w:after="0"/>
        <w:ind w:left="0" w:right="0" w:hanging="0"/>
        <w:jc w:val="both"/>
        <w:rPr>
          <w:shd w:fill="FFFFFF" w:val="clear"/>
        </w:rPr>
      </w:pPr>
      <w:r>
        <w:rPr>
          <w:shd w:fill="FFFFFF" w:val="clea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shd w:fill="FFFFFF" w:val="clear"/>
        </w:rPr>
        <w:t>Additionally, PEDMARK</w:t>
      </w:r>
      <w:r>
        <w:rPr>
          <w:rFonts w:ascii="Times New Roman;Times;serif" w:hAnsi="Times New Roman;Times;serif"/>
          <w:sz w:val="18"/>
          <w:shd w:fill="FFFFFF" w:val="clear"/>
        </w:rPr>
        <w:t>®</w:t>
      </w:r>
      <w:r>
        <w:rPr>
          <w:rFonts w:ascii="Times New Roman;Times;serif" w:hAnsi="Times New Roman;Times;serif"/>
          <w:sz w:val="20"/>
          <w:shd w:fill="FFFFFF" w:val="clear"/>
        </w:rPr>
        <w:t xml:space="preserve"> </w:t>
      </w:r>
      <w:r>
        <w:rPr>
          <w:rFonts w:ascii="Times New Roman;Times;serif" w:hAnsi="Times New Roman;Times;serif"/>
          <w:sz w:val="24"/>
          <w:shd w:fill="FFFFFF" w:val="clear"/>
        </w:rPr>
        <w:t>is recommended for the adolescent and young adult (AYA) population by the National Comprehensive Cancer Network, or NCCN, with a 2A endorsement.</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pPr>
      <w:r>
        <w:rPr>
          <w:rFonts w:ascii="Times New Roman;Times;serif" w:hAnsi="Times New Roman;Times;serif"/>
          <w:sz w:val="24"/>
          <w:shd w:fill="FFFFFF" w:val="clear"/>
        </w:rPr>
        <w:t>Approximately 500,000 patients in the U.S. are diagnosed annually with cancers that could be treated with a platinum-based chemotherapy.</w:t>
      </w:r>
      <w:hyperlink w:anchor="endnote-7">
        <w:r>
          <w:rPr>
            <w:rStyle w:val="InternetLink"/>
            <w:rFonts w:ascii="Times New Roman;Times;serif" w:hAnsi="Times New Roman;Times;serif"/>
            <w:sz w:val="18"/>
            <w:shd w:fill="FFFFFF" w:val="clear"/>
          </w:rPr>
          <w:t>vi</w:t>
        </w:r>
      </w:hyperlink>
      <w:r>
        <w:rPr>
          <w:rFonts w:ascii="Times New Roman;Times;serif" w:hAnsi="Times New Roman;Times;serif"/>
          <w:sz w:val="18"/>
          <w:shd w:fill="FFFFFF" w:val="clear"/>
        </w:rPr>
        <w:t>,</w:t>
      </w:r>
      <w:hyperlink w:anchor="endnote-8">
        <w:r>
          <w:rPr>
            <w:rStyle w:val="InternetLink"/>
            <w:rFonts w:ascii="Times New Roman;Times;serif" w:hAnsi="Times New Roman;Times;serif"/>
            <w:sz w:val="18"/>
            <w:shd w:fill="FFFFFF" w:val="clear"/>
          </w:rPr>
          <w:t>vii</w:t>
        </w:r>
      </w:hyperlink>
      <w:r>
        <w:rPr>
          <w:rFonts w:ascii="Times New Roman;Times;serif" w:hAnsi="Times New Roman;Times;serif"/>
          <w:sz w:val="20"/>
          <w:shd w:fill="FFFFFF" w:val="clear"/>
        </w:rPr>
        <w:t xml:space="preserve"> </w:t>
      </w:r>
      <w:r>
        <w:rPr>
          <w:rFonts w:ascii="Times New Roman;Times;serif" w:hAnsi="Times New Roman;Times;serif"/>
          <w:sz w:val="24"/>
          <w:shd w:fill="FFFFFF" w:val="clear"/>
        </w:rPr>
        <w:t>The incidence of ototoxicity depends upon the dose and duration of chemotherapy, and many of those treated will require lifelong hearing aids. Until the FDA approval of PEDMARK, there were no preventative agents for this hearing loss. Patients with hearing loss resulting from cancer treatment have a statistically significant worse quality of life compared with peers who have no hearing loss.</w:t>
      </w:r>
      <w:hyperlink w:anchor="endnote-9">
        <w:r>
          <w:rPr>
            <w:rStyle w:val="InternetLink"/>
            <w:rFonts w:ascii="Times New Roman;Times;serif" w:hAnsi="Times New Roman;Times;serif"/>
            <w:sz w:val="18"/>
            <w:shd w:fill="FFFFFF" w:val="clear"/>
          </w:rPr>
          <w:t>viii</w:t>
        </w:r>
      </w:hyperlink>
      <w:r>
        <w:rPr>
          <w:rFonts w:ascii="Times New Roman;Times;serif" w:hAnsi="Times New Roman;Times;serif"/>
          <w:sz w:val="18"/>
          <w:shd w:fill="FFFFFF" w:val="clear"/>
        </w:rPr>
        <w:t>,</w:t>
      </w:r>
      <w:hyperlink w:anchor="endnote-10">
        <w:r>
          <w:rPr>
            <w:rStyle w:val="InternetLink"/>
            <w:rFonts w:ascii="Times New Roman;Times;serif" w:hAnsi="Times New Roman;Times;serif"/>
            <w:sz w:val="18"/>
            <w:shd w:fill="FFFFFF" w:val="clear"/>
          </w:rPr>
          <w:t>ix</w:t>
        </w:r>
      </w:hyperlink>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4"/>
          <w:shd w:fill="FFFFFF" w:val="clear"/>
        </w:rPr>
      </w:pPr>
      <w:r>
        <w:rPr>
          <w:rFonts w:ascii="Times New Roman;Times;serif" w:hAnsi="Times New Roman;Times;serif"/>
          <w:sz w:val="24"/>
          <w:shd w:fill="FFFFFF" w:val="clear"/>
        </w:rPr>
        <w:t>PEDMARK has been studied by co-operative groups in two Phase 3 clinical studies of survival and reduction of ototoxicity, COG ACCL0431 and SIOPEL 6. Both studies have been completed. The COG ACCL0431 protocol enrolled childhood cancers typically treated with intensive cisplatin therapy for localized and disseminated disease, including newly diagnosed hepatoblastoma, germ cell tumor, osteosarcoma, neuroblastoma, medulloblastoma, and other solid tumors. SIOPEL 6 enrolled only hepatoblastoma patients with localized tumors.</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4"/>
          <w:shd w:fill="FFFFFF" w:val="clear"/>
        </w:rPr>
        <w:t>Indications and Usage</w:t>
      </w:r>
      <w:r>
        <w:rPr>
          <w:rFonts w:ascii="Times New Roman;Times;serif" w:hAnsi="Times New Roman;Times;serif"/>
          <w:sz w:val="24"/>
          <w:shd w:fill="FFFFFF" w:val="clear"/>
        </w:rPr>
        <w:br/>
        <w:t>PEDMARK</w:t>
      </w:r>
      <w:r>
        <w:rPr>
          <w:rFonts w:ascii="Times New Roman;Times;serif" w:hAnsi="Times New Roman;Times;serif"/>
          <w:sz w:val="18"/>
          <w:shd w:fill="FFFFFF" w:val="clear"/>
        </w:rPr>
        <w:t>®</w:t>
      </w:r>
      <w:r>
        <w:rPr>
          <w:rFonts w:ascii="Times New Roman;Times;serif" w:hAnsi="Times New Roman;Times;serif"/>
          <w:sz w:val="20"/>
          <w:shd w:fill="FFFFFF" w:val="clear"/>
        </w:rPr>
        <w:t> </w:t>
      </w:r>
      <w:r>
        <w:rPr>
          <w:rFonts w:ascii="Times New Roman;Times;serif" w:hAnsi="Times New Roman;Times;serif"/>
          <w:sz w:val="24"/>
          <w:shd w:fill="FFFFFF" w:val="clear"/>
        </w:rPr>
        <w:t>(sodium thiosulfate injection) is indicated to reduce the risk of ototoxicity associated with cisplatin in pediatric patients 1 month of age and older with localized, non-metastatic solid tumors.</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4"/>
          <w:shd w:fill="FFFFFF" w:val="clear"/>
        </w:rPr>
        <w:t>Limitations of Use</w:t>
      </w:r>
      <w:r>
        <w:rPr>
          <w:rFonts w:ascii="Times New Roman;Times;serif" w:hAnsi="Times New Roman;Times;serif"/>
          <w:sz w:val="24"/>
          <w:shd w:fill="FFFFFF" w:val="clear"/>
        </w:rPr>
        <w:br/>
        <w:t>The safety and efficacy of PEDMARK have not been established when administered following cisplatin infusions longer than 6 hours. PEDMARK may not reduce the risk of ototoxicity when administered following longer cisplatin infusions, because irreversible ototoxicity may have already occurred.</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4"/>
          <w:shd w:fill="FFFFFF" w:val="clear"/>
        </w:rPr>
        <w:t>Important Safety Information</w:t>
      </w:r>
      <w:r>
        <w:rPr>
          <w:rFonts w:ascii="Times New Roman;Times;serif" w:hAnsi="Times New Roman;Times;serif"/>
          <w:sz w:val="24"/>
          <w:shd w:fill="FFFFFF" w:val="clear"/>
        </w:rPr>
        <w:br/>
        <w:t>PEDMARK is contraindicated in patients with history of a severe hypersensitivity to sodium thiosulfate or any of its components.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4"/>
          <w:shd w:fill="FFFFFF" w:val="clear"/>
        </w:rPr>
      </w:pPr>
      <w:r>
        <w:rPr>
          <w:rFonts w:ascii="Times New Roman;Times;serif" w:hAnsi="Times New Roman;Times;serif"/>
          <w:sz w:val="24"/>
          <w:shd w:fill="FFFFFF" w:val="clear"/>
        </w:rPr>
        <w:t>Hypersensitivity reactions occurred in 8% to 13% of patients in clinical trials. Monitor patients for hypersensitivity reactions. Immediately discontinue PEDMARK and institute appropriate care if a hypersensitivity reaction occurs. Administer antihistamines or glucocorticoids (if appropriate) before each subsequent administration of PEDMARK. PEDMARK may contain sodium sulfite; patients with sulfite sensitivity may have hypersensitivity reactions, including anaphylactic symptoms and life-threatening or severe asthma episodes. Sulfite sensitivity is seen more frequently in people with asthma.</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4"/>
          <w:shd w:fill="FFFFFF" w:val="clear"/>
        </w:rPr>
      </w:pPr>
      <w:r>
        <w:rPr>
          <w:rFonts w:ascii="Times New Roman;Times;serif" w:hAnsi="Times New Roman;Times;serif"/>
          <w:sz w:val="24"/>
          <w:shd w:fill="FFFFFF" w:val="clear"/>
        </w:rPr>
        <w:t>PEDMARK is not indicated for use in pediatric patients less than 1 month of age due to the increased risk of hypernatremia or in pediatric patients with metastatic cancers.</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4"/>
          <w:shd w:fill="FFFFFF" w:val="clear"/>
        </w:rPr>
      </w:pPr>
      <w:r>
        <w:rPr>
          <w:rFonts w:ascii="Times New Roman;Times;serif" w:hAnsi="Times New Roman;Times;serif"/>
          <w:sz w:val="24"/>
          <w:shd w:fill="FFFFFF" w:val="clear"/>
        </w:rPr>
        <w:t>Hypernatremia occurred in 12% to 26% of patients in clinical trials, including a single Grade 3 case. Hypokalemia occurred in 15% to 27% of patients in clinical trials, with Grade 3 or 4 occurring in 9% to 27% of patients. Monitor serum sodium and potassium levels at baseline and as clinically indicated. Withhold PEDMARK in patients with baseline serum sodium greater than 145 mmol/L.</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shd w:fill="FFFFFF" w:val="clear"/>
        </w:rPr>
        <w:t>Monitor for signs and symptoms of hypernatremia and hypokalemia more closely if the glomerular filtration rate (GFR) falls below 60 mL/min/1.73m</w:t>
      </w:r>
      <w:r>
        <w:rPr>
          <w:rFonts w:ascii="Times New Roman;Times;serif" w:hAnsi="Times New Roman;Times;serif"/>
          <w:sz w:val="18"/>
          <w:shd w:fill="FFFFFF" w:val="clear"/>
        </w:rPr>
        <w:t>2</w:t>
      </w:r>
      <w:r>
        <w:rPr>
          <w:rFonts w:ascii="Times New Roman;Times;serif" w:hAnsi="Times New Roman;Times;serif"/>
          <w:sz w:val="24"/>
          <w:shd w:fill="FFFFFF" w:val="clear"/>
        </w:rPr>
        <w:t>.</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4"/>
          <w:shd w:fill="FFFFFF" w:val="clear"/>
        </w:rPr>
      </w:pPr>
      <w:r>
        <w:rPr>
          <w:rFonts w:ascii="Times New Roman;Times;serif" w:hAnsi="Times New Roman;Times;serif"/>
          <w:sz w:val="24"/>
          <w:shd w:fill="FFFFFF" w:val="clear"/>
        </w:rPr>
        <w:t>Administer antiemetics prior to each PEDMARK administration. Provide additional antiemetics and supportive care as appropriate.</w:t>
      </w:r>
    </w:p>
    <w:p>
      <w:pPr>
        <w:pStyle w:val="TextBody"/>
        <w:bidi w:val="0"/>
        <w:spacing w:before="0" w:after="0"/>
        <w:ind w:left="0" w:right="0" w:hanging="0"/>
        <w:jc w:val="both"/>
        <w:rPr>
          <w:shd w:fill="FFFFFF" w:val="clear"/>
        </w:rPr>
      </w:pPr>
      <w:r>
        <w:rPr>
          <w:shd w:fill="FFFFFF" w:val="clea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4"/>
          <w:shd w:fill="FFFFFF" w:val="clear"/>
        </w:rPr>
      </w:pPr>
      <w:r>
        <w:rPr>
          <w:rFonts w:ascii="Times New Roman;Times;serif" w:hAnsi="Times New Roman;Times;serif"/>
          <w:sz w:val="24"/>
          <w:shd w:fill="FFFFFF" w:val="clear"/>
        </w:rPr>
        <w:t>The most common adverse reactions (≥25% with difference between arms of &gt;5% compared to cisplatin alone) in SIOPEL 6 were vomiting, nausea, decreased hemoglobin, and hypernatremia. The most common adverse reaction (≥25% with difference between arms of &gt;5% compared to cisplatin alone) in COG ACCL0431 was hypokalemia.</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shd w:fill="FFFFFF" w:val="clear"/>
        </w:rPr>
        <w:t>Please see full Prescribing Information for PEDMARK</w:t>
      </w:r>
      <w:r>
        <w:rPr>
          <w:rFonts w:ascii="Times New Roman;Times;serif" w:hAnsi="Times New Roman;Times;serif"/>
          <w:sz w:val="18"/>
          <w:shd w:fill="FFFFFF" w:val="clear"/>
        </w:rPr>
        <w:t>®</w:t>
      </w:r>
      <w:r>
        <w:rPr>
          <w:rFonts w:ascii="Times New Roman;Times;serif" w:hAnsi="Times New Roman;Times;serif"/>
          <w:sz w:val="20"/>
          <w:shd w:fill="FFFFFF" w:val="clear"/>
        </w:rPr>
        <w:t> </w:t>
      </w:r>
      <w:r>
        <w:rPr>
          <w:rFonts w:ascii="Times New Roman;Times;serif" w:hAnsi="Times New Roman;Times;serif"/>
          <w:sz w:val="24"/>
          <w:shd w:fill="FFFFFF" w:val="clear"/>
        </w:rPr>
        <w:t>at: www.PEDMARK.com.</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sz w:val="24"/>
          <w:shd w:fill="FFFFFF" w:val="clear"/>
        </w:rPr>
      </w:pPr>
      <w:r>
        <w:rPr>
          <w:rFonts w:ascii="Times New Roman;Times;serif" w:hAnsi="Times New Roman;Times;serif"/>
          <w:b/>
          <w:sz w:val="24"/>
          <w:shd w:fill="FFFFFF" w:val="clear"/>
        </w:rPr>
        <w:t>About Fennec Pharmaceuticals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Fennec Pharmaceuticals Inc. is a specialty pharmaceutical company committed to the fight against ototoxicity in cancer patients who receive cisplatin-based chemotherapy. Fennec is focused on the commercialization of PEDMARK</w:t>
      </w:r>
      <w:r>
        <w:rPr>
          <w:rFonts w:ascii="Times New Roman;Times;serif" w:hAnsi="Times New Roman;Times;serif"/>
          <w:sz w:val="18"/>
        </w:rPr>
        <w:t>®</w:t>
      </w:r>
      <w:r>
        <w:rPr>
          <w:rFonts w:ascii="Times New Roman;Times;serif" w:hAnsi="Times New Roman;Times;serif"/>
          <w:sz w:val="20"/>
        </w:rPr>
        <w:t xml:space="preserve"> </w:t>
      </w:r>
      <w:r>
        <w:rPr>
          <w:rFonts w:ascii="Times New Roman;Times;serif" w:hAnsi="Times New Roman;Times;serif"/>
          <w:sz w:val="24"/>
        </w:rPr>
        <w:t>to reduce the risk of platinum-induced ototoxicity in cancer patients. PEDMARK received FDA approval in September 2022 and European Commission approval in June 2023 and United Kingdom (U.K.) approval in October 2023 under the brand name PEDMARQSI</w:t>
      </w:r>
      <w:r>
        <w:rPr>
          <w:rFonts w:ascii="Times New Roman;Times;serif" w:hAnsi="Times New Roman;Times;serif"/>
          <w:sz w:val="18"/>
          <w:shd w:fill="FFFFFF" w:val="clear"/>
        </w:rPr>
        <w:t>Ò</w:t>
      </w:r>
      <w:r>
        <w:rPr>
          <w:rFonts w:ascii="Times New Roman;Times;serif" w:hAnsi="Times New Roman;Times;serif"/>
          <w:sz w:val="24"/>
        </w:rPr>
        <w:t xml:space="preserv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In March 2024, Fennec entered into an exclusive licensing agreement under which Norgine Pharmaceuticals Ltd., a leading European specialist pharmaceutical company, will commercialize PEDMARQSI</w:t>
      </w:r>
      <w:r>
        <w:rPr>
          <w:rFonts w:ascii="Times New Roman;Times;serif" w:hAnsi="Times New Roman;Times;serif"/>
          <w:sz w:val="18"/>
        </w:rPr>
        <w:t>®</w:t>
      </w:r>
      <w:r>
        <w:rPr>
          <w:rFonts w:ascii="Times New Roman;Times;serif" w:hAnsi="Times New Roman;Times;serif"/>
          <w:sz w:val="20"/>
        </w:rPr>
        <w:t> </w:t>
      </w:r>
      <w:r>
        <w:rPr>
          <w:rFonts w:ascii="Times New Roman;Times;serif" w:hAnsi="Times New Roman;Times;serif"/>
          <w:sz w:val="24"/>
        </w:rPr>
        <w:t>in Europe, U.K., Australia and New Zealand. PEDMARQSI is now commercially available in multiple countries.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PEDMARK has received Orphan Drug Exclusivity in the U.S. and PEDMARQSI has received Pediatric Use Marketing Authorization in Europe which includes eight years plus two years of data and market protection. Further, Fennec has patents providing protection for PEDMARK until 2039 in both the U.S. and internationally.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For more information, please visit www.fennecpharma.com</w:t>
      </w:r>
      <w:r>
        <w:rPr>
          <w:rFonts w:ascii="Times New Roman;Times;serif" w:hAnsi="Times New Roman;Times;serif"/>
          <w:sz w:val="20"/>
        </w:rPr>
        <w:t xml:space="preserve"> </w:t>
      </w:r>
      <w:r>
        <w:rPr>
          <w:rFonts w:ascii="Times New Roman;Times;serif" w:hAnsi="Times New Roman;Times;serif"/>
          <w:sz w:val="24"/>
        </w:rPr>
        <w:t xml:space="preserve">and follow on LinkedIn. </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i/>
          <w:sz w:val="24"/>
        </w:rPr>
      </w:pPr>
      <w:r>
        <w:rPr>
          <w:rFonts w:ascii="Times New Roman;Times;serif" w:hAnsi="Times New Roman;Times;serif"/>
          <w:b/>
          <w:i/>
          <w:sz w:val="24"/>
        </w:rPr>
        <w:t>Forward Looking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4"/>
        </w:rPr>
        <w:t>Except for historical information described in this press release, all other statements are forward-looking. Words such as “believe,” “anticipate,” “plan,” “expect,” “estimate,” “intend,” “may,” “will,” or the negative of those terms, and similar expressions, are intended to identify forward-looking statements. These forward-looking statements include statements about our business strategy, business model, timelines and other goals, plans and prospects, including our commercialization plans respecting PEDMARK</w:t>
      </w:r>
      <w:r>
        <w:rPr>
          <w:rFonts w:ascii="Times New Roman;Times;serif" w:hAnsi="Times New Roman;Times;serif"/>
          <w:i/>
          <w:sz w:val="18"/>
        </w:rPr>
        <w:t>®</w:t>
      </w:r>
      <w:r>
        <w:rPr>
          <w:rFonts w:ascii="Times New Roman;Times;serif" w:hAnsi="Times New Roman;Times;serif"/>
          <w:i/>
          <w:sz w:val="24"/>
        </w:rPr>
        <w:t>/PEDMARQSI</w:t>
      </w:r>
      <w:r>
        <w:rPr>
          <w:rFonts w:ascii="Times New Roman;Times;serif" w:hAnsi="Times New Roman;Times;serif"/>
          <w:i/>
          <w:sz w:val="18"/>
        </w:rPr>
        <w:t>®</w:t>
      </w:r>
      <w:r>
        <w:rPr>
          <w:rFonts w:ascii="Times New Roman;Times;serif" w:hAnsi="Times New Roman;Times;serif"/>
          <w:i/>
          <w:sz w:val="24"/>
        </w:rPr>
        <w:t>, the market opportunity for and market impact of PEDMARK</w:t>
      </w:r>
      <w:r>
        <w:rPr>
          <w:rFonts w:ascii="Times New Roman;Times;serif" w:hAnsi="Times New Roman;Times;serif"/>
          <w:i/>
          <w:sz w:val="18"/>
        </w:rPr>
        <w:t>®</w:t>
      </w:r>
      <w:r>
        <w:rPr>
          <w:rFonts w:ascii="Times New Roman;Times;serif" w:hAnsi="Times New Roman;Times;serif"/>
          <w:i/>
          <w:sz w:val="24"/>
        </w:rPr>
        <w:t>/ PEDMARQSI</w:t>
      </w:r>
      <w:r>
        <w:rPr>
          <w:rFonts w:ascii="Times New Roman;Times;serif" w:hAnsi="Times New Roman;Times;serif"/>
          <w:i/>
          <w:sz w:val="18"/>
        </w:rPr>
        <w:t>®</w:t>
      </w:r>
      <w:r>
        <w:rPr>
          <w:rFonts w:ascii="Times New Roman;Times;serif" w:hAnsi="Times New Roman;Times;serif"/>
          <w:sz w:val="24"/>
        </w:rPr>
        <w:t xml:space="preserve">, </w:t>
      </w:r>
      <w:r>
        <w:rPr>
          <w:rFonts w:ascii="Times New Roman;Times;serif" w:hAnsi="Times New Roman;Times;serif"/>
          <w:i/>
          <w:sz w:val="24"/>
        </w:rPr>
        <w:t>its potential impact on patients and anticipated benefits associated with its use, future</w:t>
      </w:r>
      <w:r>
        <w:rPr>
          <w:rFonts w:ascii="Times New Roman;Times;serif" w:hAnsi="Times New Roman;Times;serif"/>
          <w:sz w:val="20"/>
        </w:rPr>
        <w:t xml:space="preserve"> </w:t>
      </w:r>
      <w:r>
        <w:rPr>
          <w:rFonts w:ascii="Times New Roman;Times;serif" w:hAnsi="Times New Roman;Times;serif"/>
          <w:i/>
          <w:sz w:val="24"/>
        </w:rPr>
        <w:t>commercial and regulatory milestone and royalty payments from Norgine,</w:t>
      </w:r>
      <w:r>
        <w:rPr>
          <w:rFonts w:ascii="Times New Roman;Times;serif" w:hAnsi="Times New Roman;Times;serif"/>
          <w:sz w:val="20"/>
        </w:rPr>
        <w:t xml:space="preserve"> </w:t>
      </w:r>
      <w:r>
        <w:rPr>
          <w:rFonts w:ascii="Times New Roman;Times;serif" w:hAnsi="Times New Roman;Times;serif"/>
          <w:i/>
          <w:sz w:val="24"/>
        </w:rPr>
        <w:t>anticipated growth,</w:t>
      </w:r>
      <w:r>
        <w:rPr>
          <w:rFonts w:ascii="Times New Roman;Times;serif" w:hAnsi="Times New Roman;Times;serif"/>
          <w:sz w:val="20"/>
        </w:rPr>
        <w:t xml:space="preserve"> </w:t>
      </w:r>
      <w:r>
        <w:rPr>
          <w:rFonts w:ascii="Times New Roman;Times;serif" w:hAnsi="Times New Roman;Times;serif"/>
          <w:i/>
          <w:sz w:val="24"/>
        </w:rPr>
        <w:t>and</w:t>
      </w:r>
      <w:r>
        <w:rPr>
          <w:rFonts w:ascii="Times New Roman;Times;serif" w:hAnsi="Times New Roman;Times;serif"/>
          <w:sz w:val="20"/>
        </w:rPr>
        <w:t xml:space="preserve"> </w:t>
      </w:r>
      <w:r>
        <w:rPr>
          <w:rFonts w:ascii="Times New Roman;Times;serif" w:hAnsi="Times New Roman;Times;serif"/>
          <w:i/>
          <w:sz w:val="24"/>
        </w:rPr>
        <w:t>the sufficiency of our current financial resources. . Forward-looking statements are subject to certain risks and uncertainties inherent in the Company’s business that could cause actual results to vary, including the risks and uncertainties that regulatory and guideline developments may change, scientific data and/or manufacturing capabilities may not be sufficient to meet regulatory standards or receipt of required regulatory clearances or approvals, clinical results may not be replicated in actual patient settings, unforeseen global instability, including political instability, or instability from an outbreak of pandemic or contagious disease, such as the novel coronavirus (COVID-19), or surrounding the duration and severity of an outbreak, protection offered by the Company’s patents and patent applications may be challenged, invalidated or circumvented by its competitors, the available market or future demand for the Company’s products will not be as large as expected, the Company’s products will not be able to penetrate one or more targeted markets, revenues will not be sufficient to fund further development and clinical studies, our ability to obtain necessary capital when needed on acceptable terms or at all, the Company may not meet its future capital requirements in different countries and municipalities, and other risks detailed from time to time in the Company’s filings with the Securities and Exchange Commission including its Annual Report on Form 10-K for the year ended December 31, 2025. Fennec disclaims any obligation to update these forward-looking statements except as required by law.</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4"/>
          <w:shd w:fill="FFFFFF" w:val="clear"/>
        </w:rPr>
        <w:t>For a more detailed discussion of related risk factors, please refer to our public filings available at www.sec.gov</w:t>
      </w:r>
      <w:r>
        <w:rPr>
          <w:rFonts w:ascii="Times New Roman;Times;serif" w:hAnsi="Times New Roman;Times;serif"/>
          <w:sz w:val="20"/>
          <w:shd w:fill="FFFFFF" w:val="clear"/>
        </w:rPr>
        <w:t> </w:t>
      </w:r>
      <w:r>
        <w:rPr>
          <w:rFonts w:ascii="Times New Roman;Times;serif" w:hAnsi="Times New Roman;Times;serif"/>
          <w:i/>
          <w:sz w:val="24"/>
          <w:shd w:fill="FFFFFF" w:val="clear"/>
        </w:rPr>
        <w:t>and www.sedar.com.</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shd w:fill="FFFFFF" w:val="clear"/>
        </w:rPr>
        <w:t>PEDMARK</w:t>
      </w:r>
      <w:r>
        <w:rPr>
          <w:rFonts w:ascii="Times New Roman;Times;serif" w:hAnsi="Times New Roman;Times;serif"/>
          <w:sz w:val="18"/>
          <w:shd w:fill="FFFFFF" w:val="clear"/>
        </w:rPr>
        <w:t>®</w:t>
      </w:r>
      <w:r>
        <w:rPr>
          <w:rFonts w:ascii="Times New Roman;Times;serif" w:hAnsi="Times New Roman;Times;serif"/>
          <w:sz w:val="20"/>
          <w:shd w:fill="FFFFFF" w:val="clear"/>
        </w:rPr>
        <w:t xml:space="preserve"> </w:t>
      </w:r>
      <w:r>
        <w:rPr>
          <w:rFonts w:ascii="Times New Roman;Times;serif" w:hAnsi="Times New Roman;Times;serif"/>
          <w:sz w:val="24"/>
        </w:rPr>
        <w:t>PEDMARQSI</w:t>
      </w:r>
      <w:r>
        <w:rPr>
          <w:rFonts w:ascii="Times New Roman;Times;serif" w:hAnsi="Times New Roman;Times;serif"/>
          <w:sz w:val="18"/>
        </w:rPr>
        <w:t>®</w:t>
      </w:r>
      <w:r>
        <w:rPr>
          <w:rFonts w:ascii="Times New Roman;Times;serif" w:hAnsi="Times New Roman;Times;serif"/>
          <w:sz w:val="20"/>
        </w:rPr>
        <w:t xml:space="preserve"> </w:t>
      </w:r>
      <w:r>
        <w:rPr>
          <w:rFonts w:ascii="Times New Roman;Times;serif" w:hAnsi="Times New Roman;Times;serif"/>
          <w:sz w:val="24"/>
          <w:shd w:fill="FFFFFF" w:val="clear"/>
        </w:rPr>
        <w:t>and Fennec</w:t>
      </w:r>
      <w:r>
        <w:rPr>
          <w:rFonts w:ascii="Times New Roman;Times;serif" w:hAnsi="Times New Roman;Times;serif"/>
          <w:sz w:val="18"/>
          <w:shd w:fill="FFFFFF" w:val="clear"/>
        </w:rPr>
        <w:t>®</w:t>
      </w:r>
      <w:r>
        <w:rPr>
          <w:rFonts w:ascii="Times New Roman;Times;serif" w:hAnsi="Times New Roman;Times;serif"/>
          <w:sz w:val="20"/>
          <w:shd w:fill="FFFFFF" w:val="clear"/>
        </w:rPr>
        <w:t xml:space="preserve"> </w:t>
      </w:r>
      <w:r>
        <w:rPr>
          <w:rFonts w:ascii="Times New Roman;Times;serif" w:hAnsi="Times New Roman;Times;serif"/>
          <w:sz w:val="24"/>
          <w:shd w:fill="FFFFFF" w:val="clear"/>
        </w:rPr>
        <w:t>are registered trademarks of Fennec Pharmaceuticals Inc.</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4"/>
          <w:shd w:fill="FFFFFF" w:val="clear"/>
        </w:rPr>
      </w:pPr>
      <w:r>
        <w:rPr>
          <w:rFonts w:ascii="Times New Roman;Times;serif" w:hAnsi="Times New Roman;Times;serif"/>
          <w:sz w:val="24"/>
          <w:shd w:fill="FFFFFF" w:val="clear"/>
        </w:rPr>
        <w:t xml:space="preserve">©2025 Fennec Pharmaceuticals Inc. All rights reserved. </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sz w:val="24"/>
          <w:shd w:fill="FFFFFF" w:val="clear"/>
        </w:rPr>
      </w:pPr>
      <w:r>
        <w:rPr>
          <w:rFonts w:ascii="Times New Roman;Times;serif" w:hAnsi="Times New Roman;Times;serif"/>
          <w:b/>
          <w:sz w:val="24"/>
          <w:shd w:fill="FFFFFF" w:val="clear"/>
        </w:rPr>
        <w:t>For further information, please contact:</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4"/>
          <w:shd w:fill="FFFFFF" w:val="clear"/>
        </w:rPr>
        <w:t>Investors:</w:t>
      </w:r>
      <w:r>
        <w:rPr>
          <w:rFonts w:ascii="Times New Roman;Times;serif" w:hAnsi="Times New Roman;Times;serif"/>
          <w:sz w:val="24"/>
          <w:shd w:fill="FFFFFF" w:val="clear"/>
        </w:rPr>
        <w:br/>
      </w:r>
      <w:r>
        <w:rPr>
          <w:rFonts w:ascii="Times New Roman;Times;serif" w:hAnsi="Times New Roman;Times;serif"/>
          <w:sz w:val="24"/>
        </w:rPr>
        <w:t>Robert Andrade</w:t>
        <w:br/>
        <w:t>Chief Financial Officer</w:t>
        <w:br/>
        <w:t>Fennec Pharmaceuticals Inc.</w:t>
        <w:br/>
        <w:t>+1 919-246-5299</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4"/>
          <w:shd w:fill="FFFFFF" w:val="clear"/>
        </w:rPr>
        <w:t>Corporate and Media:</w:t>
      </w:r>
      <w:r>
        <w:rPr>
          <w:rFonts w:ascii="Times New Roman;Times;serif" w:hAnsi="Times New Roman;Times;serif"/>
          <w:sz w:val="24"/>
          <w:shd w:fill="FFFFFF" w:val="clear"/>
        </w:rPr>
        <w:br/>
        <w:t xml:space="preserve">Lindsay Rocco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4"/>
          <w:shd w:fill="FFFFFF" w:val="clear"/>
        </w:rPr>
        <w:t>Elixir Health Public Relations</w:t>
        <w:br/>
        <w:t>+1 862-596-1304</w:t>
        <w:br/>
        <w:t>lrocco@elixirhealthpr.com</w:t>
      </w:r>
      <w:r>
        <w:rPr>
          <w:rFonts w:ascii="Times New Roman;Times;serif" w:hAnsi="Times New Roman;Times;serif"/>
          <w:sz w:val="20"/>
        </w:rPr>
        <w:t xml:space="preserve"> </w:t>
      </w:r>
    </w:p>
    <w:p>
      <w:pPr>
        <w:pStyle w:val="TextBody"/>
        <w:bidi w:val="0"/>
        <w:spacing w:before="0" w:after="0"/>
        <w:ind w:left="0" w:right="0" w:hanging="0"/>
        <w:jc w:val="left"/>
        <w:rPr>
          <w:rFonts w:ascii="Times New Roman;Times;serif" w:hAnsi="Times New Roman;Times;serif"/>
          <w:sz w:val="20"/>
        </w:rPr>
      </w:pPr>
      <w:bookmarkStart w:id="934" w:name="endnote-2"/>
      <w:bookmarkEnd w:id="934"/>
      <w:r>
        <w:rPr>
          <w:rFonts w:ascii="Times New Roman;Times;serif" w:hAnsi="Times New Roman;Times;serif"/>
          <w:sz w:val="15"/>
        </w:rPr>
        <w:t>i</w:t>
      </w:r>
      <w:r>
        <w:rPr>
          <w:rFonts w:ascii="Times New Roman;Times;serif" w:hAnsi="Times New Roman;Times;serif"/>
          <w:sz w:val="20"/>
        </w:rPr>
        <w:t xml:space="preserve"> Sheth S et al. Mechanisms of Cisplatin Ototoxicity and Progress in Otoprotection. </w:t>
      </w:r>
      <w:r>
        <w:rPr>
          <w:rFonts w:ascii="Times New Roman;Times;serif" w:hAnsi="Times New Roman;Times;serif"/>
          <w:i/>
          <w:sz w:val="20"/>
        </w:rPr>
        <w:t>Frontiers in Cellular Neuroscience</w:t>
      </w:r>
      <w:r>
        <w:rPr>
          <w:rFonts w:ascii="Times New Roman;Times;serif" w:hAnsi="Times New Roman;Times;serif"/>
          <w:sz w:val="20"/>
        </w:rPr>
        <w:t>. 2017, Vol. 11.</w:t>
      </w:r>
    </w:p>
    <w:p>
      <w:pPr>
        <w:pStyle w:val="TextBody"/>
        <w:bidi w:val="0"/>
        <w:spacing w:before="0" w:after="0"/>
        <w:ind w:left="0" w:right="0" w:hanging="0"/>
        <w:jc w:val="left"/>
        <w:rPr>
          <w:rFonts w:ascii="Times New Roman;Times;serif" w:hAnsi="Times New Roman;Times;serif"/>
          <w:sz w:val="20"/>
        </w:rPr>
      </w:pPr>
      <w:bookmarkStart w:id="935" w:name="endnote-3"/>
      <w:bookmarkEnd w:id="935"/>
      <w:r>
        <w:rPr>
          <w:rFonts w:ascii="Times New Roman;Times;serif" w:hAnsi="Times New Roman;Times;serif"/>
          <w:sz w:val="15"/>
        </w:rPr>
        <w:t>ii</w:t>
      </w:r>
      <w:r>
        <w:rPr>
          <w:rFonts w:ascii="Times New Roman;Times;serif" w:hAnsi="Times New Roman;Times;serif"/>
          <w:sz w:val="20"/>
        </w:rPr>
        <w:t xml:space="preserve"> Langer T, am Zehnhoff-Dinnesen A, Radtke S, Meitert J, Zolk O. Understanding platinum-induced ototoxicity. </w:t>
      </w:r>
      <w:r>
        <w:rPr>
          <w:rFonts w:ascii="Times New Roman;Times;serif" w:hAnsi="Times New Roman;Times;serif"/>
          <w:i/>
          <w:sz w:val="20"/>
        </w:rPr>
        <w:t>Trends Pharmacol Sci</w:t>
      </w:r>
      <w:r>
        <w:rPr>
          <w:rFonts w:ascii="Times New Roman;Times;serif" w:hAnsi="Times New Roman;Times;serif"/>
          <w:sz w:val="20"/>
        </w:rPr>
        <w:t>. 2013;34(8):458-469</w:t>
      </w:r>
    </w:p>
    <w:p>
      <w:pPr>
        <w:pStyle w:val="TextBody"/>
        <w:bidi w:val="0"/>
        <w:spacing w:before="0" w:after="0"/>
        <w:ind w:left="0" w:right="0" w:hanging="0"/>
        <w:jc w:val="left"/>
        <w:rPr>
          <w:rFonts w:ascii="Times New Roman;Times;serif" w:hAnsi="Times New Roman;Times;serif"/>
          <w:sz w:val="20"/>
        </w:rPr>
      </w:pPr>
      <w:bookmarkStart w:id="936" w:name="endnote-4"/>
      <w:bookmarkEnd w:id="936"/>
      <w:r>
        <w:rPr>
          <w:rFonts w:ascii="Times New Roman;Times;serif" w:hAnsi="Times New Roman;Times;serif"/>
          <w:sz w:val="15"/>
        </w:rPr>
        <w:t>iii</w:t>
      </w:r>
      <w:r>
        <w:rPr>
          <w:rFonts w:ascii="Times New Roman;Times;serif" w:hAnsi="Times New Roman;Times;serif"/>
          <w:sz w:val="20"/>
        </w:rPr>
        <w:t xml:space="preserve"> Landier W. Ototoxicity and Cancer Therapy. </w:t>
      </w:r>
      <w:r>
        <w:rPr>
          <w:rFonts w:ascii="Times New Roman;Times;serif" w:hAnsi="Times New Roman;Times;serif"/>
          <w:i/>
          <w:sz w:val="20"/>
        </w:rPr>
        <w:t>Cancer</w:t>
      </w:r>
      <w:r>
        <w:rPr>
          <w:rFonts w:ascii="Times New Roman;Times;serif" w:hAnsi="Times New Roman;Times;serif"/>
          <w:sz w:val="20"/>
        </w:rPr>
        <w:t>. June 2016 Vol. 122, No.11: 1647-1658</w:t>
      </w:r>
      <w:r>
        <w:rPr>
          <w:rFonts w:ascii="Times New Roman;Times;serif" w:hAnsi="Times New Roman;Times;serif"/>
          <w:sz w:val="20"/>
          <w:shd w:fill="FFFFFF" w:val="clear"/>
        </w:rPr>
        <w:t>.</w:t>
      </w:r>
    </w:p>
    <w:p>
      <w:pPr>
        <w:pStyle w:val="TextBody"/>
        <w:bidi w:val="0"/>
        <w:spacing w:before="0" w:after="0"/>
        <w:ind w:left="0" w:right="0" w:hanging="0"/>
        <w:jc w:val="left"/>
        <w:rPr>
          <w:rFonts w:ascii="Times New Roman;Times;serif" w:hAnsi="Times New Roman;Times;serif"/>
          <w:sz w:val="20"/>
        </w:rPr>
      </w:pPr>
      <w:bookmarkStart w:id="937" w:name="endnote-5"/>
      <w:bookmarkEnd w:id="937"/>
      <w:r>
        <w:rPr>
          <w:rFonts w:ascii="Times New Roman;Times;serif" w:hAnsi="Times New Roman;Times;serif"/>
          <w:sz w:val="15"/>
        </w:rPr>
        <w:t>iv</w:t>
      </w:r>
      <w:r>
        <w:rPr>
          <w:rFonts w:ascii="Times New Roman;Times;serif" w:hAnsi="Times New Roman;Times;serif"/>
          <w:sz w:val="20"/>
        </w:rPr>
        <w:t xml:space="preserve"> Clemens E, van den Heuvel-Eibrink MM, Mulder RL, et al. Recommendations for ototoxicity surveillance for childhood, adolescent, and young adult cancer survivors: a report from the International Late Effects of Childhood Cancer Guideline Harmonization Group in collaboration with the PanCare Consortium. </w:t>
      </w:r>
      <w:r>
        <w:rPr>
          <w:rFonts w:ascii="Times New Roman;Times;serif" w:hAnsi="Times New Roman;Times;serif"/>
          <w:i/>
          <w:sz w:val="20"/>
        </w:rPr>
        <w:t>Lancet Oncol</w:t>
      </w:r>
      <w:r>
        <w:rPr>
          <w:rFonts w:ascii="Times New Roman;Times;serif" w:hAnsi="Times New Roman;Times;serif"/>
          <w:sz w:val="20"/>
        </w:rPr>
        <w:t>. 2019;20(1):e29-e41</w:t>
      </w:r>
    </w:p>
    <w:p>
      <w:pPr>
        <w:pStyle w:val="TextBody"/>
        <w:bidi w:val="0"/>
        <w:spacing w:before="0" w:after="0"/>
        <w:ind w:left="0" w:right="0" w:hanging="0"/>
        <w:jc w:val="left"/>
        <w:rPr>
          <w:rFonts w:ascii="Times New Roman;Times;serif" w:hAnsi="Times New Roman;Times;serif"/>
          <w:sz w:val="20"/>
        </w:rPr>
      </w:pPr>
      <w:bookmarkStart w:id="938" w:name="endnote-6"/>
      <w:bookmarkEnd w:id="938"/>
      <w:r>
        <w:rPr>
          <w:rFonts w:ascii="Times New Roman;Times;serif" w:hAnsi="Times New Roman;Times;serif"/>
          <w:sz w:val="15"/>
        </w:rPr>
        <w:t>v</w:t>
      </w:r>
      <w:r>
        <w:rPr>
          <w:rFonts w:ascii="Times New Roman;Times;serif" w:hAnsi="Times New Roman;Times;serif"/>
          <w:sz w:val="20"/>
        </w:rPr>
        <w:t xml:space="preserve"> Bass JK, Knight KR, Yock TI, Chang KW, Cipkala D, Grewal SS. Evaluation and management of hearing loss in survivors of childhood and adolescent cancers: a report from the children’s oncology group. </w:t>
      </w:r>
      <w:r>
        <w:rPr>
          <w:rFonts w:ascii="Times New Roman;Times;serif" w:hAnsi="Times New Roman;Times;serif"/>
          <w:i/>
          <w:sz w:val="20"/>
        </w:rPr>
        <w:t>Pediatr Blood Cancer</w:t>
      </w:r>
      <w:r>
        <w:rPr>
          <w:rFonts w:ascii="Times New Roman;Times;serif" w:hAnsi="Times New Roman;Times;serif"/>
          <w:sz w:val="20"/>
        </w:rPr>
        <w:t>. 2016;63(7):1152-1162.</w:t>
      </w:r>
    </w:p>
    <w:p>
      <w:pPr>
        <w:pStyle w:val="TextBody"/>
        <w:bidi w:val="0"/>
        <w:spacing w:before="0" w:after="0"/>
        <w:ind w:left="0" w:right="0" w:hanging="0"/>
        <w:jc w:val="left"/>
        <w:rPr>
          <w:rFonts w:ascii="Times New Roman;Times;serif" w:hAnsi="Times New Roman;Times;serif"/>
          <w:sz w:val="20"/>
        </w:rPr>
      </w:pPr>
      <w:bookmarkStart w:id="939" w:name="endnote-7"/>
      <w:bookmarkEnd w:id="939"/>
      <w:r>
        <w:rPr>
          <w:rFonts w:ascii="Times New Roman;Times;serif" w:hAnsi="Times New Roman;Times;serif"/>
          <w:sz w:val="15"/>
        </w:rPr>
        <w:t>vi</w:t>
      </w:r>
      <w:r>
        <w:rPr>
          <w:rFonts w:ascii="Times New Roman;Times;serif" w:hAnsi="Times New Roman;Times;serif"/>
          <w:sz w:val="20"/>
        </w:rPr>
        <w:t xml:space="preserve"> Chattaraj A et al. Cisplatin-Induced Ototoxicity: A Concise Review of the Burden, Prevention, and Interception Strategies. </w:t>
      </w:r>
      <w:r>
        <w:rPr>
          <w:rFonts w:ascii="Times New Roman;Times;serif" w:hAnsi="Times New Roman;Times;serif"/>
          <w:i/>
          <w:sz w:val="20"/>
        </w:rPr>
        <w:t>JCO Oncol Pract</w:t>
      </w:r>
      <w:r>
        <w:rPr>
          <w:rFonts w:ascii="Times New Roman;Times;serif" w:hAnsi="Times New Roman;Times;serif"/>
          <w:sz w:val="20"/>
        </w:rPr>
        <w:t>. 2023;19</w:t>
      </w:r>
    </w:p>
    <w:p>
      <w:pPr>
        <w:pStyle w:val="TextBody"/>
        <w:bidi w:val="0"/>
        <w:spacing w:before="0" w:after="0"/>
        <w:ind w:left="0" w:right="0" w:hanging="0"/>
        <w:jc w:val="left"/>
        <w:rPr>
          <w:rFonts w:ascii="Times New Roman;Times;serif" w:hAnsi="Times New Roman;Times;serif"/>
          <w:sz w:val="20"/>
        </w:rPr>
      </w:pPr>
      <w:bookmarkStart w:id="940" w:name="endnote-8"/>
      <w:bookmarkEnd w:id="940"/>
      <w:r>
        <w:rPr>
          <w:rFonts w:ascii="Times New Roman;Times;serif" w:hAnsi="Times New Roman;Times;serif"/>
          <w:sz w:val="15"/>
        </w:rPr>
        <w:t>vii</w:t>
      </w:r>
      <w:r>
        <w:rPr>
          <w:rFonts w:ascii="Times New Roman;Times;serif" w:hAnsi="Times New Roman;Times;serif"/>
          <w:sz w:val="20"/>
        </w:rPr>
        <w:t xml:space="preserve"> Freyer DR et al. Effects of sodium thiosulfate versus observation on development of cisplatin-induced hearing loss in children with cancer (ACCL0431): a multicentre, randomised, controlled, open-label, phase 3 trial. </w:t>
      </w:r>
      <w:r>
        <w:rPr>
          <w:rFonts w:ascii="Times New Roman;Times;serif" w:hAnsi="Times New Roman;Times;serif"/>
          <w:i/>
          <w:sz w:val="20"/>
        </w:rPr>
        <w:t>Lancet Oncol</w:t>
      </w:r>
      <w:r>
        <w:rPr>
          <w:rFonts w:ascii="Times New Roman;Times;serif" w:hAnsi="Times New Roman;Times;serif"/>
          <w:sz w:val="20"/>
        </w:rPr>
        <w:t>. 2017;18(1):63-74.</w:t>
      </w:r>
    </w:p>
    <w:p>
      <w:pPr>
        <w:pStyle w:val="TextBody"/>
        <w:bidi w:val="0"/>
        <w:spacing w:before="0" w:after="0"/>
        <w:ind w:left="0" w:right="0" w:hanging="0"/>
        <w:jc w:val="left"/>
        <w:rPr>
          <w:rFonts w:ascii="Times New Roman;Times;serif" w:hAnsi="Times New Roman;Times;serif"/>
          <w:sz w:val="20"/>
        </w:rPr>
      </w:pPr>
      <w:bookmarkStart w:id="941" w:name="endnote-9"/>
      <w:bookmarkEnd w:id="941"/>
      <w:r>
        <w:rPr>
          <w:rFonts w:ascii="Times New Roman;Times;serif" w:hAnsi="Times New Roman;Times;serif"/>
          <w:sz w:val="15"/>
        </w:rPr>
        <w:t>viii</w:t>
      </w:r>
      <w:r>
        <w:rPr>
          <w:rFonts w:ascii="Times New Roman;Times;serif" w:hAnsi="Times New Roman;Times;serif"/>
          <w:sz w:val="20"/>
        </w:rPr>
        <w:t xml:space="preserve"> Rajput K, Edwards L, Brock P, Abiodun A, Simpkin P, Al-Malky G. Ototoxicity-induced hearing loss and quality of life in survivors of paediatric cancer</w:t>
      </w:r>
      <w:r>
        <w:rPr>
          <w:rFonts w:ascii="Times New Roman;Times;serif" w:hAnsi="Times New Roman;Times;serif"/>
          <w:i/>
          <w:sz w:val="20"/>
        </w:rPr>
        <w:t>. Int J Pediatr Otorhinolaryngol</w:t>
      </w:r>
      <w:r>
        <w:rPr>
          <w:rFonts w:ascii="Times New Roman;Times;serif" w:hAnsi="Times New Roman;Times;serif"/>
          <w:sz w:val="20"/>
        </w:rPr>
        <w:t>. 2020;138:110401. doi:10.1016/j.ijporl.2020.110401</w:t>
      </w:r>
    </w:p>
    <w:p>
      <w:pPr>
        <w:pStyle w:val="TextBody"/>
        <w:bidi w:val="0"/>
        <w:spacing w:before="0" w:after="0"/>
        <w:ind w:left="0" w:right="0" w:hanging="0"/>
        <w:jc w:val="left"/>
        <w:rPr>
          <w:rFonts w:ascii="Times New Roman;Times;serif" w:hAnsi="Times New Roman;Times;serif"/>
          <w:sz w:val="20"/>
        </w:rPr>
      </w:pPr>
      <w:bookmarkStart w:id="942" w:name="endnote-10"/>
      <w:bookmarkEnd w:id="942"/>
      <w:r>
        <w:rPr>
          <w:rFonts w:ascii="Times New Roman;Times;serif" w:hAnsi="Times New Roman;Times;serif"/>
          <w:sz w:val="15"/>
        </w:rPr>
        <w:t>ix</w:t>
      </w:r>
      <w:r>
        <w:rPr>
          <w:rFonts w:ascii="Times New Roman;Times;serif" w:hAnsi="Times New Roman;Times;serif"/>
          <w:sz w:val="20"/>
        </w:rPr>
        <w:t xml:space="preserve"> Bass JK, Knight KR, Yock TI, Chang KW, Cipkala D, Grewal SS. Evaluation and management of hearing loss in survivors of childhood and adolescent cancers: a report from the children’s oncology group. Pediatr Blood Cancer. 2016;63(7):1152-1162.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altName w:val="font-weight:bold"/>
    <w:charset w:val="01"/>
    <w:family w:val="auto"/>
    <w:pitch w:val="default"/>
  </w:font>
  <w:font w:name="Times New Roman">
    <w:charset w:val="01"/>
    <w:family w:val="auto"/>
    <w:pitch w:val="default"/>
  </w:font>
  <w:font w:name="Courier New">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11583/000110465926073007/tm2617383d1_ex99-1.htm" TargetMode="External"/><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21668</Words>
  <Characters>124250</Characters>
  <CharactersWithSpaces>147828</CharactersWithSpaces>
  <Paragraphs>5465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