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8" w:space="1" w:color="000000"/>
        </w:pBdr>
        <w:bidi w:val="0"/>
        <w:spacing w:lineRule="auto" w:line="285" w:before="0" w:after="0"/>
        <w:ind w:left="0" w:right="0" w:hanging="0"/>
        <w:jc w:val="left"/>
        <w:rPr/>
      </w:pPr>
      <w:bookmarkStart w:id="0" w:name="fencf-20260917x8k.htm"/>
      <w:bookmarkStart w:id="1" w:name="ksfencf20260917x8k"/>
      <w:bookmarkEnd w:id="0"/>
      <w:bookmarkEnd w:id="1"/>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bookmarkStart w:id="2" w:name="_fe12d245_ac6d_4d19_9062_b0e458d498ac"/>
      <w:bookmarkEnd w:id="2"/>
      <w:r>
        <w:rPr>
          <w:rFonts w:ascii="Times New Roman;Times;serif" w:hAnsi="Times New Roman;Times;serif"/>
          <w:b/>
          <w:sz w:val="20"/>
        </w:rPr>
        <w:t>UNITED STATES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17, 2026</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001-32295</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p>
      <w:pPr>
        <w:pStyle w:val="TextBody"/>
        <w:bidi w:val="0"/>
        <w:spacing w:lineRule="auto" w:line="285" w:before="0" w:after="0"/>
        <w:ind w:left="0" w:right="0" w:hanging="0"/>
        <w:jc w:val="center"/>
        <w:rPr/>
      </w:pPr>
      <w:r>
        <w:rPr/>
        <w:t> </w:t>
      </w:r>
    </w:p>
    <w:p>
      <w:pPr>
        <w:pStyle w:val="Normal"/>
        <w:bidi w:val="0"/>
        <w:spacing w:before="0" w:after="0"/>
        <w:jc w:val="left"/>
        <w:rPr>
          <w:sz w:val="4"/>
          <w:szCs w:val="4"/>
        </w:rPr>
      </w:pPr>
      <w:r>
        <w:rPr>
          <w:sz w:val="4"/>
          <w:szCs w:val="4"/>
        </w:rPr>
      </w:r>
      <w:bookmarkStart w:id="3" w:name="Tc_sI3nNqreBkmBzV5uWFU5Bw_2_2"/>
      <w:bookmarkStart w:id="4" w:name="Tc_S-XtENgAUEuBZfSzpeYHQA_2_0"/>
      <w:bookmarkStart w:id="5" w:name="_708ebdf6_9201_4cd9_ad33_e4b35eaf159f"/>
      <w:bookmarkStart w:id="6" w:name="Tc_sI3nNqreBkmBzV5uWFU5Bw_2_2"/>
      <w:bookmarkStart w:id="7" w:name="Tc_S-XtENgAUEuBZfSzpeYHQA_2_0"/>
      <w:bookmarkStart w:id="8" w:name="_708ebdf6_9201_4cd9_ad33_e4b35eaf159f"/>
      <w:bookmarkEnd w:id="6"/>
      <w:bookmarkEnd w:id="7"/>
      <w:bookmarkEnd w:id="8"/>
    </w:p>
    <w:tbl>
      <w:tblPr>
        <w:tblW w:w="5638" w:type="dxa"/>
        <w:jc w:val="left"/>
        <w:tblInd w:w="0" w:type="dxa"/>
        <w:tblLayout w:type="fixed"/>
        <w:tblCellMar>
          <w:top w:w="0" w:type="dxa"/>
          <w:left w:w="0" w:type="dxa"/>
          <w:bottom w:w="0" w:type="dxa"/>
          <w:right w:w="0" w:type="dxa"/>
        </w:tblCellMar>
      </w:tblPr>
      <w:tblGrid>
        <w:gridCol w:w="2461"/>
        <w:gridCol w:w="146"/>
        <w:gridCol w:w="3031"/>
      </w:tblGrid>
      <w:tr>
        <w:trPr/>
        <w:tc>
          <w:tcPr>
            <w:tcW w:w="246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175260"/>
                      <wp:effectExtent l="0" t="0" r="0" b="0"/>
                      <wp:wrapNone/>
                      <wp:docPr id="1" name="Frame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31" w:type="dxa"/>
            <w:tcBorders/>
            <w:vAlign w:val="center"/>
          </w:tcPr>
          <w:p>
            <w:pPr>
              <w:pStyle w:val="TableContents"/>
              <w:bidi w:val="0"/>
              <w:spacing w:lineRule="auto" w:line="285" w:before="0" w:after="0"/>
              <w:ind w:left="0" w:right="0" w:hanging="0"/>
              <w:jc w:val="left"/>
              <w:rPr/>
            </w:pPr>
            <w:r>
              <w:rPr/>
              <w:t>​</w:t>
            </w:r>
          </w:p>
        </w:tc>
      </w:tr>
      <w:tr>
        <w:trPr/>
        <w:tc>
          <w:tcPr>
            <w:tcW w:w="24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British Columbia, Canada</w:t>
            </w:r>
          </w:p>
        </w:tc>
        <w:tc>
          <w:tcPr>
            <w:tcW w:w="146" w:type="dxa"/>
            <w:tcBorders/>
            <w:vAlign w:val="center"/>
          </w:tcPr>
          <w:p>
            <w:pPr>
              <w:pStyle w:val="TableContents"/>
              <w:bidi w:val="0"/>
              <w:spacing w:lineRule="auto" w:line="285" w:before="0" w:after="0"/>
              <w:ind w:left="0" w:right="0" w:hanging="0"/>
              <w:jc w:val="left"/>
              <w:rPr/>
            </w:pPr>
            <w:r>
              <w:rPr/>
              <w:t> </w:t>
            </w:r>
          </w:p>
        </w:tc>
        <w:tc>
          <w:tcPr>
            <w:tcW w:w="303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20-0442384</w:t>
            </w:r>
          </w:p>
        </w:tc>
      </w:tr>
      <w:tr>
        <w:trPr/>
        <w:tc>
          <w:tcPr>
            <w:tcW w:w="24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146" w:type="dxa"/>
            <w:tcBorders/>
            <w:vAlign w:val="center"/>
          </w:tcPr>
          <w:p>
            <w:pPr>
              <w:pStyle w:val="TableContents"/>
              <w:bidi w:val="0"/>
              <w:spacing w:lineRule="auto" w:line="285" w:before="0" w:after="0"/>
              <w:ind w:left="0" w:right="0" w:hanging="0"/>
              <w:jc w:val="left"/>
              <w:rPr/>
            </w:pPr>
            <w:r>
              <w:rPr/>
              <w:t> </w:t>
            </w:r>
          </w:p>
        </w:tc>
        <w:tc>
          <w:tcPr>
            <w:tcW w:w="303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p>
      <w:pPr>
        <w:pStyle w:val="Normal"/>
        <w:bidi w:val="0"/>
        <w:spacing w:before="0" w:after="0"/>
        <w:jc w:val="left"/>
        <w:rPr>
          <w:sz w:val="4"/>
          <w:szCs w:val="4"/>
        </w:rPr>
      </w:pPr>
      <w:r>
        <w:rPr>
          <w:sz w:val="4"/>
          <w:szCs w:val="4"/>
        </w:rPr>
      </w:r>
      <w:bookmarkStart w:id="9" w:name="Tc_LIOnUtP5HU-yg8CA-xnQrA_2_2"/>
      <w:bookmarkStart w:id="10" w:name="Tc_cfG19NX2NUGT3lN6_mtZ6g_2_0"/>
      <w:bookmarkStart w:id="11" w:name="Tc_tg_XIrAKck2ZV4f9BIGy0Q_1_0"/>
      <w:bookmarkStart w:id="12" w:name="_e090d7dc_684f_44cb_97fb_58d583532ff3"/>
      <w:bookmarkStart w:id="13" w:name="Tc_LIOnUtP5HU-yg8CA-xnQrA_2_2"/>
      <w:bookmarkStart w:id="14" w:name="Tc_cfG19NX2NUGT3lN6_mtZ6g_2_0"/>
      <w:bookmarkStart w:id="15" w:name="Tc_tg_XIrAKck2ZV4f9BIGy0Q_1_0"/>
      <w:bookmarkStart w:id="16" w:name="_e090d7dc_684f_44cb_97fb_58d583532ff3"/>
      <w:bookmarkEnd w:id="13"/>
      <w:bookmarkEnd w:id="14"/>
      <w:bookmarkEnd w:id="15"/>
      <w:bookmarkEnd w:id="16"/>
    </w:p>
    <w:tbl>
      <w:tblPr>
        <w:tblW w:w="4708" w:type="dxa"/>
        <w:jc w:val="left"/>
        <w:tblInd w:w="0" w:type="dxa"/>
        <w:tblLayout w:type="fixed"/>
        <w:tblCellMar>
          <w:top w:w="0" w:type="dxa"/>
          <w:left w:w="0" w:type="dxa"/>
          <w:bottom w:w="0" w:type="dxa"/>
          <w:right w:w="0" w:type="dxa"/>
        </w:tblCellMar>
      </w:tblPr>
      <w:tblGrid>
        <w:gridCol w:w="3526"/>
        <w:gridCol w:w="146"/>
        <w:gridCol w:w="1036"/>
      </w:tblGrid>
      <w:tr>
        <w:trPr/>
        <w:tc>
          <w:tcPr>
            <w:tcW w:w="3526"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r>
      <w:tr>
        <w:trPr/>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PO Box 13628, 68 TW Alexander Drive,</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Research Triangle Park, NC</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27709</w:t>
            </w:r>
          </w:p>
        </w:tc>
      </w:tr>
      <w:tr>
        <w:trPr/>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20"/>
        </w:rPr>
        <w:t>Registrant’s telephone number, including area code:</w:t>
      </w:r>
      <w:r>
        <w:rPr>
          <w:rFonts w:ascii="Times New Roman;Times;serif" w:hAnsi="Times New Roman;Times;serif"/>
          <w:sz w:val="20"/>
        </w:rPr>
        <w:t xml:space="preserve"> (</w:t>
      </w:r>
      <w:r>
        <w:rPr>
          <w:rFonts w:ascii="Times New Roman;Times;serif" w:hAnsi="Times New Roman;Times;serif"/>
          <w:b/>
          <w:sz w:val="20"/>
        </w:rPr>
        <w:t>919) 636-4530</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 </w:t>
      </w:r>
    </w:p>
    <w:p>
      <w:pPr>
        <w:pStyle w:val="Normal"/>
        <w:bidi w:val="0"/>
        <w:spacing w:before="0" w:after="0"/>
        <w:jc w:val="left"/>
        <w:rPr>
          <w:sz w:val="4"/>
          <w:szCs w:val="4"/>
        </w:rPr>
      </w:pPr>
      <w:r>
        <w:rPr>
          <w:sz w:val="4"/>
          <w:szCs w:val="4"/>
        </w:rPr>
      </w:r>
      <w:bookmarkStart w:id="17" w:name="Tc_dGX-VmTRCEmhu2QcjILeBg_1_2"/>
      <w:bookmarkStart w:id="18" w:name="_605244ff_014d_4223_aa42_d6275a578658"/>
      <w:bookmarkStart w:id="19" w:name="Tc_dGX-VmTRCEmhu2QcjILeBg_1_2"/>
      <w:bookmarkStart w:id="20" w:name="_605244ff_014d_4223_aa42_d6275a578658"/>
      <w:bookmarkEnd w:id="19"/>
      <w:bookmarkEnd w:id="20"/>
    </w:p>
    <w:tbl>
      <w:tblPr>
        <w:tblW w:w="7888" w:type="dxa"/>
        <w:jc w:val="left"/>
        <w:tblInd w:w="0" w:type="dxa"/>
        <w:tblLayout w:type="fixed"/>
        <w:tblCellMar>
          <w:top w:w="0" w:type="dxa"/>
          <w:left w:w="0" w:type="dxa"/>
          <w:bottom w:w="0" w:type="dxa"/>
          <w:right w:w="0" w:type="dxa"/>
        </w:tblCellMar>
      </w:tblPr>
      <w:tblGrid>
        <w:gridCol w:w="161"/>
        <w:gridCol w:w="316"/>
        <w:gridCol w:w="7411"/>
      </w:tblGrid>
      <w:tr>
        <w:trPr/>
        <w:tc>
          <w:tcPr>
            <w:tcW w:w="16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7411" w:type="dxa"/>
            <w:tcBorders/>
            <w:vAlign w:val="center"/>
          </w:tcPr>
          <w:p>
            <w:pPr>
              <w:pStyle w:val="TableContents"/>
              <w:bidi w:val="0"/>
              <w:spacing w:lineRule="auto" w:line="285" w:before="0" w:after="0"/>
              <w:ind w:left="0" w:right="0" w:hanging="0"/>
              <w:jc w:val="left"/>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16" w:type="dxa"/>
            <w:tcBorders/>
            <w:vAlign w:val="center"/>
          </w:tcPr>
          <w:p>
            <w:pPr>
              <w:pStyle w:val="TableContents"/>
              <w:bidi w:val="0"/>
              <w:spacing w:lineRule="auto" w:line="285" w:before="0" w:after="0"/>
              <w:ind w:left="0" w:right="0" w:hanging="0"/>
              <w:jc w:val="left"/>
              <w:rPr/>
            </w:pPr>
            <w:r>
              <w:rPr/>
              <w:t>☐</w:t>
            </w:r>
          </w:p>
        </w:tc>
        <w:tc>
          <w:tcPr>
            <w:tcW w:w="741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lineRule="auto" w:line="285" w:before="0" w:after="0"/>
        <w:ind w:left="0" w:right="0" w:hanging="0"/>
        <w:jc w:val="left"/>
        <w:rPr/>
      </w:pPr>
      <w:r>
        <w:rPr/>
        <w:t> </w:t>
      </w:r>
    </w:p>
    <w:p>
      <w:pPr>
        <w:pStyle w:val="Normal"/>
        <w:bidi w:val="0"/>
        <w:spacing w:before="0" w:after="0"/>
        <w:jc w:val="left"/>
        <w:rPr>
          <w:sz w:val="4"/>
          <w:szCs w:val="4"/>
        </w:rPr>
      </w:pPr>
      <w:r>
        <w:rPr>
          <w:sz w:val="4"/>
          <w:szCs w:val="4"/>
        </w:rPr>
      </w:r>
      <w:bookmarkStart w:id="21" w:name="Tc_Mxqs1c6qp0y3KaG7EItJeQ_1_2"/>
      <w:bookmarkStart w:id="22" w:name="_fab354cc_01e2_4748_9401_103a3c762fc2"/>
      <w:bookmarkStart w:id="23" w:name="Tc_Mxqs1c6qp0y3KaG7EItJeQ_1_2"/>
      <w:bookmarkStart w:id="24" w:name="_fab354cc_01e2_4748_9401_103a3c762fc2"/>
      <w:bookmarkEnd w:id="23"/>
      <w:bookmarkEnd w:id="24"/>
    </w:p>
    <w:tbl>
      <w:tblPr>
        <w:tblW w:w="7918" w:type="dxa"/>
        <w:jc w:val="left"/>
        <w:tblInd w:w="0" w:type="dxa"/>
        <w:tblLayout w:type="fixed"/>
        <w:tblCellMar>
          <w:top w:w="0" w:type="dxa"/>
          <w:left w:w="0" w:type="dxa"/>
          <w:bottom w:w="0" w:type="dxa"/>
          <w:right w:w="0" w:type="dxa"/>
        </w:tblCellMar>
      </w:tblPr>
      <w:tblGrid>
        <w:gridCol w:w="161"/>
        <w:gridCol w:w="316"/>
        <w:gridCol w:w="7441"/>
      </w:tblGrid>
      <w:tr>
        <w:trPr/>
        <w:tc>
          <w:tcPr>
            <w:tcW w:w="16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7441" w:type="dxa"/>
            <w:tcBorders/>
            <w:vAlign w:val="center"/>
          </w:tcPr>
          <w:p>
            <w:pPr>
              <w:pStyle w:val="TableContents"/>
              <w:bidi w:val="0"/>
              <w:spacing w:lineRule="auto" w:line="285" w:before="0" w:after="0"/>
              <w:ind w:left="0" w:right="0" w:hanging="0"/>
              <w:jc w:val="left"/>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16" w:type="dxa"/>
            <w:tcBorders/>
            <w:vAlign w:val="center"/>
          </w:tcPr>
          <w:p>
            <w:pPr>
              <w:pStyle w:val="TableContents"/>
              <w:bidi w:val="0"/>
              <w:spacing w:lineRule="auto" w:line="285" w:before="0" w:after="0"/>
              <w:ind w:left="0" w:right="0" w:hanging="0"/>
              <w:jc w:val="left"/>
              <w:rPr/>
            </w:pPr>
            <w:r>
              <w:rPr/>
              <w:t>☐</w:t>
            </w:r>
          </w:p>
        </w:tc>
        <w:tc>
          <w:tcPr>
            <w:tcW w:w="744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lineRule="auto" w:line="285" w:before="0" w:after="0"/>
        <w:ind w:left="0" w:right="0" w:hanging="0"/>
        <w:jc w:val="left"/>
        <w:rPr/>
      </w:pPr>
      <w:r>
        <w:rPr/>
        <w:t> </w:t>
      </w:r>
    </w:p>
    <w:p>
      <w:pPr>
        <w:pStyle w:val="Normal"/>
        <w:bidi w:val="0"/>
        <w:spacing w:before="0" w:after="0"/>
        <w:jc w:val="left"/>
        <w:rPr>
          <w:sz w:val="4"/>
          <w:szCs w:val="4"/>
        </w:rPr>
      </w:pPr>
      <w:r>
        <w:rPr>
          <w:sz w:val="4"/>
          <w:szCs w:val="4"/>
        </w:rPr>
      </w:r>
      <w:bookmarkStart w:id="25" w:name="Tc_JgPKQXydpkKOdaEWZBa-fA_1_2"/>
      <w:bookmarkStart w:id="26" w:name="_bf069743_f10a_419b_8c12_d2934f366092"/>
      <w:bookmarkStart w:id="27" w:name="Tc_JgPKQXydpkKOdaEWZBa-fA_1_2"/>
      <w:bookmarkStart w:id="28" w:name="_bf069743_f10a_419b_8c12_d2934f366092"/>
      <w:bookmarkEnd w:id="27"/>
      <w:bookmarkEnd w:id="28"/>
    </w:p>
    <w:tbl>
      <w:tblPr>
        <w:tblW w:w="9658" w:type="dxa"/>
        <w:jc w:val="left"/>
        <w:tblInd w:w="0" w:type="dxa"/>
        <w:tblLayout w:type="fixed"/>
        <w:tblCellMar>
          <w:top w:w="0" w:type="dxa"/>
          <w:left w:w="0" w:type="dxa"/>
          <w:bottom w:w="0" w:type="dxa"/>
          <w:right w:w="0" w:type="dxa"/>
        </w:tblCellMar>
      </w:tblPr>
      <w:tblGrid>
        <w:gridCol w:w="161"/>
        <w:gridCol w:w="316"/>
        <w:gridCol w:w="9181"/>
      </w:tblGrid>
      <w:tr>
        <w:trPr/>
        <w:tc>
          <w:tcPr>
            <w:tcW w:w="16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9181" w:type="dxa"/>
            <w:tcBorders/>
            <w:vAlign w:val="center"/>
          </w:tcPr>
          <w:p>
            <w:pPr>
              <w:pStyle w:val="TableContents"/>
              <w:bidi w:val="0"/>
              <w:spacing w:lineRule="auto" w:line="285" w:before="0" w:after="0"/>
              <w:ind w:left="0" w:right="0" w:hanging="0"/>
              <w:jc w:val="left"/>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16" w:type="dxa"/>
            <w:tcBorders/>
            <w:vAlign w:val="center"/>
          </w:tcPr>
          <w:p>
            <w:pPr>
              <w:pStyle w:val="TableContents"/>
              <w:bidi w:val="0"/>
              <w:spacing w:lineRule="auto" w:line="285" w:before="0" w:after="0"/>
              <w:ind w:left="0" w:right="0" w:hanging="0"/>
              <w:jc w:val="left"/>
              <w:rPr/>
            </w:pPr>
            <w:r>
              <w:rPr/>
              <w:t>☐</w:t>
            </w:r>
          </w:p>
        </w:tc>
        <w:tc>
          <w:tcPr>
            <w:tcW w:w="918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lineRule="auto" w:line="285" w:before="0" w:after="0"/>
        <w:ind w:left="0" w:right="0" w:hanging="0"/>
        <w:jc w:val="left"/>
        <w:rPr/>
      </w:pPr>
      <w:r>
        <w:rPr/>
        <w:t> </w:t>
      </w:r>
    </w:p>
    <w:p>
      <w:pPr>
        <w:pStyle w:val="Normal"/>
        <w:bidi w:val="0"/>
        <w:spacing w:before="0" w:after="0"/>
        <w:jc w:val="left"/>
        <w:rPr>
          <w:sz w:val="4"/>
          <w:szCs w:val="4"/>
        </w:rPr>
      </w:pPr>
      <w:r>
        <w:rPr>
          <w:sz w:val="4"/>
          <w:szCs w:val="4"/>
        </w:rPr>
      </w:r>
      <w:bookmarkStart w:id="29" w:name="Tc_sQ89dOhLjUuCmqXC-yNn-g_1_2"/>
      <w:bookmarkStart w:id="30" w:name="_ba6b5d52_6143_4356_af7f_19f2aff75a6e"/>
      <w:bookmarkStart w:id="31" w:name="Tc_sQ89dOhLjUuCmqXC-yNn-g_1_2"/>
      <w:bookmarkStart w:id="32" w:name="_ba6b5d52_6143_4356_af7f_19f2aff75a6e"/>
      <w:bookmarkEnd w:id="31"/>
      <w:bookmarkEnd w:id="32"/>
    </w:p>
    <w:tbl>
      <w:tblPr>
        <w:tblW w:w="9598" w:type="dxa"/>
        <w:jc w:val="left"/>
        <w:tblInd w:w="0" w:type="dxa"/>
        <w:tblLayout w:type="fixed"/>
        <w:tblCellMar>
          <w:top w:w="0" w:type="dxa"/>
          <w:left w:w="0" w:type="dxa"/>
          <w:bottom w:w="0" w:type="dxa"/>
          <w:right w:w="0" w:type="dxa"/>
        </w:tblCellMar>
      </w:tblPr>
      <w:tblGrid>
        <w:gridCol w:w="161"/>
        <w:gridCol w:w="316"/>
        <w:gridCol w:w="9121"/>
      </w:tblGrid>
      <w:tr>
        <w:trPr/>
        <w:tc>
          <w:tcPr>
            <w:tcW w:w="16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16"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3" w:name="Tc_xtKWHB3Znkm-5Q4I7p_IEQ_2_2"/>
      <w:bookmarkStart w:id="34" w:name="Tc_Qs9GyXy20USsv4sHFAP8KA_1_2"/>
      <w:bookmarkStart w:id="35" w:name="Tc_xYua4Bl2xk-Xkf6bqo-8EQ_1_1"/>
      <w:bookmarkStart w:id="36" w:name="Tc_iG43Nrz4aUCh9iOauf24DQ_1_0"/>
      <w:bookmarkStart w:id="37" w:name="_2a233d4b_687d_4358_bb03_f1831b91a917"/>
      <w:bookmarkStart w:id="38" w:name="Tc_xtKWHB3Znkm-5Q4I7p_IEQ_2_2"/>
      <w:bookmarkStart w:id="39" w:name="Tc_Qs9GyXy20USsv4sHFAP8KA_1_2"/>
      <w:bookmarkStart w:id="40" w:name="Tc_xYua4Bl2xk-Xkf6bqo-8EQ_1_1"/>
      <w:bookmarkStart w:id="41" w:name="Tc_iG43Nrz4aUCh9iOauf24DQ_1_0"/>
      <w:bookmarkStart w:id="42" w:name="_2a233d4b_687d_4358_bb03_f1831b91a917"/>
      <w:bookmarkEnd w:id="38"/>
      <w:bookmarkEnd w:id="39"/>
      <w:bookmarkEnd w:id="40"/>
      <w:bookmarkEnd w:id="41"/>
      <w:bookmarkEnd w:id="42"/>
    </w:p>
    <w:tbl>
      <w:tblPr>
        <w:tblW w:w="7803" w:type="dxa"/>
        <w:jc w:val="left"/>
        <w:tblInd w:w="0" w:type="dxa"/>
        <w:tblLayout w:type="fixed"/>
        <w:tblCellMar>
          <w:top w:w="0" w:type="dxa"/>
          <w:left w:w="0" w:type="dxa"/>
          <w:bottom w:w="0" w:type="dxa"/>
          <w:right w:w="0" w:type="dxa"/>
        </w:tblCellMar>
      </w:tblPr>
      <w:tblGrid>
        <w:gridCol w:w="2506"/>
        <w:gridCol w:w="1591"/>
        <w:gridCol w:w="3706"/>
      </w:tblGrid>
      <w:tr>
        <w:trPr/>
        <w:tc>
          <w:tcPr>
            <w:tcW w:w="2506" w:type="dxa"/>
            <w:tcBorders/>
            <w:vAlign w:val="center"/>
          </w:tcPr>
          <w:p>
            <w:pPr>
              <w:pStyle w:val="TableContents"/>
              <w:bidi w:val="0"/>
              <w:spacing w:lineRule="auto" w:line="285" w:before="0" w:after="0"/>
              <w:ind w:left="0" w:right="0" w:hanging="0"/>
              <w:jc w:val="left"/>
              <w:rPr/>
            </w:pPr>
            <w:r>
              <w:rPr/>
              <w:t>​</w:t>
            </w:r>
          </w:p>
        </w:tc>
        <w:tc>
          <w:tcPr>
            <w:tcW w:w="1591"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r>
        <w:trPr/>
        <w:tc>
          <w:tcPr>
            <w:tcW w:w="2506"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06" w:type="dxa"/>
            <w:tcBorders>
              <w:left w:val="single" w:sz="2" w:space="0" w:color="000000"/>
              <w:bottom w:val="single" w:sz="2" w:space="0" w:color="000000"/>
            </w:tcBorders>
            <w:tcMar>
              <w:left w:w="28" w:type="dxa"/>
              <w:bottom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Common shares, no par value</w:t>
            </w:r>
          </w:p>
        </w:tc>
        <w:tc>
          <w:tcPr>
            <w:tcW w:w="1591" w:type="dxa"/>
            <w:tcBorders>
              <w:left w:val="single" w:sz="2" w:space="0" w:color="000000"/>
              <w:bottom w:val="single" w:sz="2" w:space="0" w:color="000000"/>
            </w:tcBorders>
            <w:tcMar>
              <w:left w:w="28" w:type="dxa"/>
              <w:bottom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FENC</w:t>
            </w:r>
          </w:p>
        </w:tc>
        <w:tc>
          <w:tcPr>
            <w:tcW w:w="3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lineRule="auto" w:line="285" w:before="22" w:after="0"/>
              <w:ind w:left="22" w:right="22"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5" w:before="0" w:after="0"/>
        <w:ind w:left="0" w:right="0" w:hanging="0"/>
        <w:jc w:val="left"/>
        <w:rPr/>
      </w:pPr>
      <w:r>
        <w:rPr/>
        <w:t> </w:t>
      </w:r>
    </w:p>
    <w:p>
      <w:pPr>
        <w:pStyle w:val="TextBody"/>
        <w:bidi w:val="0"/>
        <w:spacing w:lineRule="auto" w:line="285" w:before="0" w:after="0"/>
        <w:ind w:left="264" w:right="1122"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bookmarkStart w:id="43" w:name="_fa40a776_17cc_438b_87d8_3e3f5f71f83a"/>
      <w:bookmarkStart w:id="44" w:name="part_1_2_1"/>
      <w:bookmarkStart w:id="45" w:name="item_1_30_1"/>
      <w:bookmarkEnd w:id="43"/>
      <w:bookmarkEnd w:id="44"/>
      <w:bookmarkEnd w:id="45"/>
      <w:r>
        <w:rPr/>
        <w:t>​</w:t>
      </w:r>
    </w:p>
    <w:p>
      <w:pPr>
        <w:pStyle w:val="TextBody"/>
        <w:bidi w:val="0"/>
        <w:spacing w:lineRule="auto" w:line="285" w:before="0" w:after="0"/>
        <w:ind w:left="0" w:right="0" w:hanging="0"/>
        <w:jc w:val="left"/>
        <w:rPr/>
      </w:pPr>
      <w:r>
        <w:rPr/>
        <w:t>​</w:t>
      </w:r>
    </w:p>
    <w:tbl>
      <w:tblPr>
        <w:tblW w:w="2222" w:type="dxa"/>
        <w:jc w:val="left"/>
        <w:tblInd w:w="0" w:type="dxa"/>
        <w:tblLayout w:type="fixed"/>
        <w:tblCellMar>
          <w:top w:w="0" w:type="dxa"/>
          <w:left w:w="0" w:type="dxa"/>
          <w:bottom w:w="0" w:type="dxa"/>
          <w:right w:w="0" w:type="dxa"/>
        </w:tblCellMar>
      </w:tblPr>
      <w:tblGrid>
        <w:gridCol w:w="961"/>
        <w:gridCol w:w="1261"/>
      </w:tblGrid>
      <w:tr>
        <w:trPr/>
        <w:tc>
          <w:tcPr>
            <w:tcW w:w="961"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Item 8.01.</w:t>
            </w:r>
          </w:p>
        </w:tc>
        <w:tc>
          <w:tcPr>
            <w:tcW w:w="1261"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17, 2026, Fennec Pharmaceuticals Inc. (the “Company”) announced positive results from the investigator-initiated Phase 2 STS-J01 clinical study of PEDMARK® in Japan, which met its primary endpoint and demonstrated significant hearing protection without evidence of interference with cisplatin antitumor activity.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 copy of the press release is furnished as Exhibit 99.1 to this Current Report on Form 8-K.</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this Item 8.01, including Exhibit 99.1 attached hereto, shall not be deemed “filed” for purposes of Section 18 of the Securities Exchange Act of 1934, as amended, nor incorporated by reference into any filing under the Securities Act of 1933, as amended, except as expressly set forth by specific reference in such filing.</w:t>
      </w:r>
    </w:p>
    <w:p>
      <w:pPr>
        <w:pStyle w:val="TextBody"/>
        <w:bidi w:val="0"/>
        <w:spacing w:lineRule="auto" w:line="285" w:before="0" w:after="0"/>
        <w:ind w:left="0" w:right="0" w:firstLine="550"/>
        <w:jc w:val="both"/>
        <w:rPr/>
      </w:pPr>
      <w:bookmarkStart w:id="46" w:name="item_1_47_1"/>
      <w:bookmarkStart w:id="47" w:name="part_1_2_2"/>
      <w:bookmarkEnd w:id="46"/>
      <w:bookmarkEnd w:id="47"/>
      <w:r>
        <w:rPr/>
        <w:t> </w:t>
      </w:r>
    </w:p>
    <w:p>
      <w:pPr>
        <w:pStyle w:val="TextBody"/>
        <w:bidi w:val="0"/>
        <w:spacing w:lineRule="auto" w:line="285" w:before="0" w:after="0"/>
        <w:ind w:left="0" w:right="0" w:firstLine="550"/>
        <w:jc w:val="both"/>
        <w:rPr/>
      </w:pPr>
      <w:bookmarkStart w:id="48" w:name="_783d2a27_052b_400a_8bba_3dc93925eb21"/>
      <w:bookmarkEnd w:id="48"/>
      <w:r>
        <w:rPr/>
        <w:t>​</w:t>
      </w:r>
    </w:p>
    <w:p>
      <w:pPr>
        <w:pStyle w:val="TextBody"/>
        <w:bidi w:val="0"/>
        <w:spacing w:lineRule="auto" w:line="285" w:before="0" w:after="0"/>
        <w:ind w:left="0" w:right="0" w:hanging="0"/>
        <w:jc w:val="left"/>
        <w:rPr/>
      </w:pPr>
      <w:r>
        <w:rPr/>
        <w:t>​</w:t>
      </w:r>
    </w:p>
    <w:tbl>
      <w:tblPr>
        <w:tblW w:w="3992" w:type="dxa"/>
        <w:jc w:val="left"/>
        <w:tblInd w:w="0" w:type="dxa"/>
        <w:tblLayout w:type="fixed"/>
        <w:tblCellMar>
          <w:top w:w="0" w:type="dxa"/>
          <w:left w:w="0" w:type="dxa"/>
          <w:bottom w:w="0" w:type="dxa"/>
          <w:right w:w="0" w:type="dxa"/>
        </w:tblCellMar>
      </w:tblPr>
      <w:tblGrid>
        <w:gridCol w:w="916"/>
        <w:gridCol w:w="3076"/>
      </w:tblGrid>
      <w:tr>
        <w:trPr/>
        <w:tc>
          <w:tcPr>
            <w:tcW w:w="91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Item 9.01</w:t>
            </w:r>
          </w:p>
        </w:tc>
        <w:tc>
          <w:tcPr>
            <w:tcW w:w="307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27"/>
        <w:gridCol w:w="286"/>
        <w:gridCol w:w="8792"/>
      </w:tblGrid>
      <w:tr>
        <w:trPr/>
        <w:tc>
          <w:tcPr>
            <w:tcW w:w="1127"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8792" w:type="dxa"/>
            <w:tcBorders/>
            <w:vAlign w:val="center"/>
          </w:tcPr>
          <w:p>
            <w:pPr>
              <w:pStyle w:val="TableContents"/>
              <w:bidi w:val="0"/>
              <w:spacing w:lineRule="auto" w:line="285" w:before="0" w:after="0"/>
              <w:ind w:left="0" w:right="0" w:hanging="0"/>
              <w:jc w:val="left"/>
              <w:rPr/>
            </w:pPr>
            <w:r>
              <w:rPr/>
              <w:t>​</w:t>
            </w:r>
          </w:p>
        </w:tc>
      </w:tr>
      <w:tr>
        <w:trPr/>
        <w:tc>
          <w:tcPr>
            <w:tcW w:w="11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286" w:type="dxa"/>
            <w:tcBorders/>
            <w:vAlign w:val="center"/>
          </w:tcPr>
          <w:p>
            <w:pPr>
              <w:pStyle w:val="TableContents"/>
              <w:bidi w:val="0"/>
              <w:spacing w:lineRule="auto" w:line="285" w:before="0" w:after="0"/>
              <w:ind w:left="0" w:right="0" w:hanging="0"/>
              <w:jc w:val="both"/>
              <w:rPr/>
            </w:pPr>
            <w:r>
              <w:rPr/>
              <w:t>  ​ ​</w:t>
            </w:r>
          </w:p>
        </w:tc>
        <w:tc>
          <w:tcPr>
            <w:tcW w:w="8792"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Description</w:t>
            </w:r>
          </w:p>
        </w:tc>
      </w:tr>
      <w:tr>
        <w:trPr/>
        <w:tc>
          <w:tcPr>
            <w:tcW w:w="1127" w:type="dxa"/>
            <w:tcBorders/>
            <w:vAlign w:val="center"/>
          </w:tcPr>
          <w:p>
            <w:pPr>
              <w:pStyle w:val="TableContents"/>
              <w:bidi w:val="0"/>
              <w:spacing w:lineRule="auto" w:line="285" w:before="0" w:after="0"/>
              <w:ind w:left="0" w:right="0" w:hanging="0"/>
              <w:jc w:val="left"/>
              <w:rPr/>
            </w:pPr>
            <w:r>
              <w:rPr/>
              <w:t> </w:t>
            </w:r>
          </w:p>
        </w:tc>
        <w:tc>
          <w:tcPr>
            <w:tcW w:w="286" w:type="dxa"/>
            <w:tcBorders/>
            <w:vAlign w:val="center"/>
          </w:tcPr>
          <w:p>
            <w:pPr>
              <w:pStyle w:val="TableContents"/>
              <w:bidi w:val="0"/>
              <w:spacing w:lineRule="auto" w:line="285" w:before="0" w:after="0"/>
              <w:ind w:left="0" w:right="0" w:hanging="0"/>
              <w:jc w:val="both"/>
              <w:rPr/>
            </w:pPr>
            <w:r>
              <w:rPr/>
              <w:t>​</w:t>
            </w:r>
          </w:p>
        </w:tc>
        <w:tc>
          <w:tcPr>
            <w:tcW w:w="8792" w:type="dxa"/>
            <w:tcBorders/>
            <w:vAlign w:val="center"/>
          </w:tcPr>
          <w:p>
            <w:pPr>
              <w:pStyle w:val="TableContents"/>
              <w:bidi w:val="0"/>
              <w:spacing w:lineRule="auto" w:line="285" w:before="0" w:after="0"/>
              <w:ind w:left="0" w:right="0" w:hanging="0"/>
              <w:jc w:val="both"/>
              <w:rPr/>
            </w:pPr>
            <w:r>
              <w:rPr/>
              <w:t> </w:t>
            </w:r>
          </w:p>
        </w:tc>
      </w:tr>
      <w:tr>
        <w:trPr/>
        <w:tc>
          <w:tcPr>
            <w:tcW w:w="11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Exhibit 99.1</w:t>
            </w:r>
          </w:p>
        </w:tc>
        <w:tc>
          <w:tcPr>
            <w:tcW w:w="286" w:type="dxa"/>
            <w:tcBorders/>
            <w:vAlign w:val="center"/>
          </w:tcPr>
          <w:p>
            <w:pPr>
              <w:pStyle w:val="TableContents"/>
              <w:bidi w:val="0"/>
              <w:spacing w:lineRule="auto" w:line="285" w:before="0" w:after="0"/>
              <w:ind w:left="0" w:right="0" w:hanging="0"/>
              <w:jc w:val="left"/>
              <w:rPr/>
            </w:pPr>
            <w:r>
              <w:rPr/>
              <w:t>​</w:t>
            </w:r>
          </w:p>
        </w:tc>
        <w:tc>
          <w:tcPr>
            <w:tcW w:w="8792" w:type="dxa"/>
            <w:tcBorders/>
            <w:vAlign w:val="center"/>
          </w:tcPr>
          <w:p>
            <w:pPr>
              <w:pStyle w:val="TableContents"/>
              <w:bidi w:val="0"/>
              <w:spacing w:lineRule="auto" w:line="285" w:before="0" w:after="0"/>
              <w:ind w:left="0" w:right="0" w:hanging="0"/>
              <w:jc w:val="left"/>
              <w:rPr/>
            </w:pPr>
            <w:hyperlink w:anchor="fencf-20260917xex99d1.htm">
              <w:r>
                <w:rPr>
                  <w:rStyle w:val="InternetLink"/>
                  <w:rFonts w:ascii="Times New Roman;Times;serif" w:hAnsi="Times New Roman;Times;serif"/>
                  <w:b w:val="false"/>
                  <w:i w:val="false"/>
                  <w:caps w:val="false"/>
                  <w:smallCaps w:val="false"/>
                  <w:sz w:val="20"/>
                </w:rPr>
                <w:t>Press Release dated September 17, 2026</w:t>
              </w:r>
            </w:hyperlink>
          </w:p>
        </w:tc>
      </w:tr>
      <w:tr>
        <w:trPr/>
        <w:tc>
          <w:tcPr>
            <w:tcW w:w="11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286" w:type="dxa"/>
            <w:tcBorders/>
            <w:vAlign w:val="center"/>
          </w:tcPr>
          <w:p>
            <w:pPr>
              <w:pStyle w:val="TableContents"/>
              <w:bidi w:val="0"/>
              <w:spacing w:lineRule="auto" w:line="285" w:before="0" w:after="0"/>
              <w:ind w:left="0" w:right="0" w:hanging="0"/>
              <w:jc w:val="left"/>
              <w:rPr/>
            </w:pPr>
            <w:r>
              <w:rPr/>
              <w:t>​</w:t>
            </w:r>
          </w:p>
        </w:tc>
        <w:tc>
          <w:tcPr>
            <w:tcW w:w="879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bookmarkStart w:id="49" w:name="_d034938d_aad0_441f_8d65_4ec4eeb38056"/>
      <w:bookmarkStart w:id="50" w:name="part_1_2_3"/>
      <w:bookmarkEnd w:id="49"/>
      <w:bookmarkEnd w:id="50"/>
      <w:r>
        <w:rPr>
          <w:rFonts w:ascii="Times New Roman;Times;serif" w:hAnsi="Times New Roman;Times;serif"/>
          <w:b/>
          <w:sz w:val="20"/>
        </w:rPr>
        <w:t>SIGNATURE</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547"/>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firstLine="550"/>
        <w:jc w:val="left"/>
        <w:rPr/>
      </w:pPr>
      <w:r>
        <w:rPr/>
        <w:t> </w:t>
      </w:r>
    </w:p>
    <w:tbl>
      <w:tblPr>
        <w:tblW w:w="5883" w:type="dxa"/>
        <w:jc w:val="left"/>
        <w:tblInd w:w="0" w:type="dxa"/>
        <w:tblLayout w:type="fixed"/>
        <w:tblCellMar>
          <w:top w:w="0" w:type="dxa"/>
          <w:left w:w="0" w:type="dxa"/>
          <w:bottom w:w="0" w:type="dxa"/>
          <w:right w:w="0" w:type="dxa"/>
        </w:tblCellMar>
      </w:tblPr>
      <w:tblGrid>
        <w:gridCol w:w="2221"/>
        <w:gridCol w:w="406"/>
        <w:gridCol w:w="3256"/>
      </w:tblGrid>
      <w:tr>
        <w:trPr/>
        <w:tc>
          <w:tcPr>
            <w:tcW w:w="222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56" w:type="dxa"/>
            <w:tcBorders/>
            <w:vAlign w:val="center"/>
          </w:tcPr>
          <w:p>
            <w:pPr>
              <w:pStyle w:val="TableContents"/>
              <w:bidi w:val="0"/>
              <w:spacing w:lineRule="auto" w:line="285" w:before="0" w:after="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3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FENNEC PHARMACEUTICALS INC.</w:t>
            </w:r>
          </w:p>
        </w:tc>
      </w:tr>
      <w:tr>
        <w:trPr/>
        <w:tc>
          <w:tcPr>
            <w:tcW w:w="222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center"/>
              <w:rPr/>
            </w:pPr>
            <w:r>
              <w:rPr/>
              <w:t> </w:t>
            </w:r>
          </w:p>
        </w:tc>
        <w:tc>
          <w:tcPr>
            <w:tcW w:w="3256" w:type="dxa"/>
            <w:tcBorders/>
            <w:vAlign w:val="center"/>
          </w:tcPr>
          <w:p>
            <w:pPr>
              <w:pStyle w:val="TableContents"/>
              <w:bidi w:val="0"/>
              <w:spacing w:lineRule="auto" w:line="285" w:before="0" w:after="0"/>
              <w:ind w:left="0" w:right="0" w:hanging="0"/>
              <w:jc w:val="left"/>
              <w:rPr/>
            </w:pPr>
            <w:r>
              <w:rPr/>
              <w:t> </w:t>
            </w:r>
          </w:p>
        </w:tc>
      </w:tr>
      <w:tr>
        <w:trPr/>
        <w:tc>
          <w:tcPr>
            <w:tcW w:w="222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center"/>
              <w:rPr/>
            </w:pPr>
            <w:r>
              <w:rPr/>
              <w:t> </w:t>
            </w:r>
          </w:p>
        </w:tc>
        <w:tc>
          <w:tcPr>
            <w:tcW w:w="3256" w:type="dxa"/>
            <w:tcBorders/>
            <w:vAlign w:val="center"/>
          </w:tcPr>
          <w:p>
            <w:pPr>
              <w:pStyle w:val="TableContents"/>
              <w:bidi w:val="0"/>
              <w:spacing w:lineRule="auto" w:line="285" w:before="0" w:after="0"/>
              <w:ind w:left="0" w:right="0" w:hanging="0"/>
              <w:jc w:val="left"/>
              <w:rPr/>
            </w:pPr>
            <w:r>
              <w:rPr/>
              <w:t> </w:t>
            </w:r>
          </w:p>
        </w:tc>
      </w:tr>
      <w:tr>
        <w:trPr/>
        <w:tc>
          <w:tcPr>
            <w:tcW w:w="2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September 17, 2026</w:t>
            </w:r>
          </w:p>
        </w:tc>
        <w:tc>
          <w:tcPr>
            <w:tcW w:w="4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222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3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4"/>
        </w:rPr>
      </w:pPr>
      <w:bookmarkStart w:id="51" w:name="fencf-20260917xex99d1.htm"/>
      <w:bookmarkStart w:id="52" w:name="ksfencf20260917xex99d1"/>
      <w:bookmarkEnd w:id="51"/>
      <w:bookmarkEnd w:id="52"/>
      <w:r>
        <w:rPr>
          <w:rFonts w:ascii="Times New Roman;Times;serif" w:hAnsi="Times New Roman;Times;serif"/>
          <w:b/>
          <w:sz w:val="24"/>
        </w:rPr>
        <w:t>Exhibit 99.1</w:t>
      </w:r>
      <w:r>
        <w:br w:type="page"/>
      </w:r>
    </w:p>
    <w:p>
      <w:pPr>
        <w:pStyle w:val="TextBody"/>
        <w:bidi w:val="0"/>
        <w:spacing w:before="0" w:after="0"/>
        <w:ind w:left="0" w:right="0" w:hanging="0"/>
        <w:jc w:val="center"/>
        <w:rPr/>
      </w:pPr>
      <w:r>
        <w:rPr/>
        <w:drawing>
          <wp:inline distT="0" distB="0" distL="0" distR="0">
            <wp:extent cx="1247775" cy="7048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47775" cy="70485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aps/>
          <w:sz w:val="28"/>
        </w:rPr>
        <w:t>Fennec Pharmaceuticals Announces ORAL PRESENTATION OF DETAILED Results From Investigator-Initiated Phase 2 STS-J01 Clinical Study of PEDMARK</w:t>
      </w:r>
      <w:r>
        <w:rPr>
          <w:rFonts w:ascii="Times New Roman;Times;serif" w:hAnsi="Times New Roman;Times;serif"/>
          <w:b/>
          <w:caps/>
          <w:sz w:val="21"/>
        </w:rPr>
        <w:t>®</w:t>
      </w:r>
      <w:r>
        <w:rPr>
          <w:rFonts w:ascii="Times New Roman;Times;serif" w:hAnsi="Times New Roman;Times;serif"/>
          <w:caps/>
          <w:sz w:val="20"/>
        </w:rPr>
        <w:t xml:space="preserve"> </w:t>
      </w:r>
      <w:r>
        <w:rPr>
          <w:rFonts w:ascii="Times New Roman;Times;serif" w:hAnsi="Times New Roman;Times;serif"/>
          <w:b/>
          <w:caps/>
          <w:sz w:val="28"/>
        </w:rPr>
        <w:t xml:space="preserve">in Japan AT SIOP 2026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Primary Endpoint Met: American Speech-Language-Hearing Association (ASHA)-Defined Hearing Loss Occurred in 24.0% of Patients Versus the Prespecified Historical Benchmark of 56.4% (P=0.001)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84% of Patients Had Grade 0 Hearing Loss by Brock Criteria; No Grade 3 or Grade 4 Hearing Loss Was Observed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 Objective Responses Observed in 23 of 24 Evaluable Patients (95.8%); Prospective Pharmacokinetic Analyses Provide New Mechanistic Insight Supporting the Six-Hour PEDMARK</w:t>
      </w:r>
      <w:r>
        <w:rPr>
          <w:rFonts w:ascii="Times New Roman;Times;serif" w:hAnsi="Times New Roman;Times;serif"/>
          <w:i/>
          <w:sz w:val="15"/>
          <w:shd w:fill="FFFFFF" w:val="clear"/>
        </w:rPr>
        <w:t>®</w:t>
      </w:r>
      <w:r>
        <w:rPr>
          <w:rFonts w:ascii="Times New Roman;Times;serif" w:hAnsi="Times New Roman;Times;serif"/>
          <w:sz w:val="20"/>
        </w:rPr>
        <w:t xml:space="preserve"> </w:t>
      </w:r>
      <w:r>
        <w:rPr>
          <w:rFonts w:ascii="Times New Roman;Times;serif" w:hAnsi="Times New Roman;Times;serif"/>
          <w:i/>
          <w:sz w:val="20"/>
        </w:rPr>
        <w:t>Administration Interval for Pediatric &amp; Adolescent and Young Adult (AYA) Patients</w:t>
      </w:r>
      <w:r>
        <w:rPr>
          <w:rFonts w:ascii="Times New Roman;Times;serif" w:hAnsi="Times New Roman;Times;serif"/>
          <w:sz w:val="20"/>
        </w:rPr>
        <w:t xml:space="preserve"> </w:t>
      </w:r>
      <w:r>
        <w:rPr>
          <w:rFonts w:ascii="Times New Roman;Times;serif" w:hAnsi="Times New Roman;Times;serif"/>
          <w:i/>
          <w:sz w:val="20"/>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 xml:space="preserve">~ Building Upon the Pivotal </w:t>
      </w:r>
      <w:r>
        <w:rPr>
          <w:rFonts w:ascii="Times New Roman;Times;serif" w:hAnsi="Times New Roman;Times;serif"/>
          <w:i/>
          <w:sz w:val="20"/>
          <w:shd w:fill="FFFFFF" w:val="clear"/>
        </w:rPr>
        <w:t xml:space="preserve">Children’s Oncology Group (COG) Protocol ACCL0431 &amp; SIOPEL 6 Studies, STS-J01 </w:t>
      </w:r>
      <w:r>
        <w:rPr>
          <w:rFonts w:ascii="Times New Roman;Times;serif" w:hAnsi="Times New Roman;Times;serif"/>
          <w:i/>
          <w:sz w:val="20"/>
        </w:rPr>
        <w:t>Represents Third Study to Demonstrate that PEDMARK</w:t>
      </w:r>
      <w:r>
        <w:rPr>
          <w:rFonts w:ascii="Times New Roman;Times;serif" w:hAnsi="Times New Roman;Times;serif"/>
          <w:i/>
          <w:sz w:val="15"/>
          <w:shd w:fill="FFFFFF" w:val="clear"/>
        </w:rPr>
        <w:t>®</w:t>
      </w:r>
      <w:r>
        <w:rPr>
          <w:rFonts w:ascii="Times New Roman;Times;serif" w:hAnsi="Times New Roman;Times;serif"/>
          <w:sz w:val="20"/>
        </w:rPr>
        <w:t xml:space="preserve"> </w:t>
      </w:r>
      <w:r>
        <w:rPr>
          <w:rFonts w:ascii="Times New Roman;Times;serif" w:hAnsi="Times New Roman;Times;serif"/>
          <w:i/>
          <w:sz w:val="20"/>
        </w:rPr>
        <w:t xml:space="preserve">Showed No Interference with Cisplatin Antitumor Activity ~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Research Triangle Park, NC, September 17, 2026 </w:t>
      </w:r>
      <w:r>
        <w:rPr>
          <w:rFonts w:ascii="Times New Roman;Times;serif" w:hAnsi="Times New Roman;Times;serif"/>
          <w:sz w:val="20"/>
        </w:rPr>
        <w:t>– Fennec Pharmaceuticals Inc. (NASDAQ:FENC; TSX: FRX), a specialty pharmaceutical company, today announced the oral presentation of detailed results from the investigator-initiated Phase 2 STS-J01 clinical trial evaluating PEDMARK</w:t>
      </w:r>
      <w:r>
        <w:rPr>
          <w:rFonts w:ascii="Times New Roman;Times;serif" w:hAnsi="Times New Roman;Times;serif"/>
          <w:sz w:val="15"/>
        </w:rPr>
        <w:t>®</w:t>
      </w:r>
      <w:r>
        <w:rPr>
          <w:rFonts w:ascii="Times New Roman;Times;serif" w:hAnsi="Times New Roman;Times;serif"/>
          <w:sz w:val="20"/>
        </w:rPr>
        <w:t> (sodium thiosulfate injection) for the reduction of cisplatin-induced ototoxicity in pediatric and adolescent and young adult (AYA) patients with non-metastatic solid tumors in Japan. The data will be presented today during the 58</w:t>
      </w:r>
      <w:r>
        <w:rPr>
          <w:rFonts w:ascii="Times New Roman;Times;serif" w:hAnsi="Times New Roman;Times;serif"/>
          <w:sz w:val="15"/>
        </w:rPr>
        <w:t>th</w:t>
      </w:r>
      <w:r>
        <w:rPr>
          <w:rFonts w:ascii="Times New Roman;Times;serif" w:hAnsi="Times New Roman;Times;serif"/>
          <w:sz w:val="20"/>
        </w:rPr>
        <w:t xml:space="preserve"> Annual International Society of Pediatric Oncology (SIOP) Annual Meeting in San Antonio, TX.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PEDMARK</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is the first and only U.S. Food and Drug Administration (FDA) approved therapy indicated to reduce the risk of ototoxicity associated with cisplatin treatment in pediatric patients 1 month of age and older with localized, non-metastatic, solid tumors, and is also recognized by the National Comprehensive Cancer Network with a 2A endorsement for use in AYA patients.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study enrolled 33 patients across 11 institutions in Japan, including 27 patients in the primary cohort and six in exploratory cohorts. Key study findings include: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Among the 25 patients comprising the primary efficacy population, ASHA-defined hearing loss occurred in 24.0% (6/25), significantly lower than the prespecified historical benchmark of 56.4% (P=0.001).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Nineteen of 25 patients (76.0%) remained free of ASHA-defined hearing loss. By Brock criteria, 84.0% of patients had Grade 0 hearing loss, and no patient experienced Grade 3 or Grade 4 hearing loss.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Objective tumor responses were observed in 23 of 24 evaluable patients (95.8%), providing reassuring clinical context for delayed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administration six hours following cisplatin.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Prospective pharmacokinetic analyses further characterized the interaction between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 xml:space="preserve">and cisplatin-derived platinum and provide mechanistic support for the six-hour administration strategy for pediatric and adolescent and young adult (AYA) patients. </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0"/>
        </w:rPr>
        <w:t>The clinical and pharmacologic findings of STS-J01 are compelling. We observed a significant reduction in hearing loss, with no Grade 3 or Grade 4 hearing loss by Brock criteria, alongside a 95.8% objective response rate in evaluable patients. The prospective pharmacokinetic analyses further provide important mechanistic insight into why the six-hour interval matters, supporting a model in which PEDMARK</w:t>
      </w:r>
      <w:r>
        <w:rPr>
          <w:rFonts w:ascii="Times New Roman;Times;serif" w:hAnsi="Times New Roman;Times;serif"/>
          <w:sz w:val="15"/>
        </w:rPr>
        <w:t>®</w:t>
      </w:r>
      <w:r>
        <w:rPr>
          <w:rFonts w:ascii="Times New Roman;Times;serif" w:hAnsi="Times New Roman;Times;serif"/>
          <w:sz w:val="20"/>
        </w:rPr>
        <w:t xml:space="preserve"> acts on residual circulating and exchangeable platinum after cisplatin has had time to distribute and initiate its antitumor activity. Together, these findings add an important independent body of evidence supporting the clinical rationale for delayed PEDMARK</w:t>
      </w:r>
      <w:r>
        <w:rPr>
          <w:rFonts w:ascii="Times New Roman;Times;serif" w:hAnsi="Times New Roman;Times;serif"/>
          <w:sz w:val="15"/>
        </w:rPr>
        <w:t>®</w:t>
      </w:r>
      <w:r>
        <w:rPr>
          <w:rFonts w:ascii="Times New Roman;Times;serif" w:hAnsi="Times New Roman;Times;serif"/>
          <w:sz w:val="20"/>
        </w:rPr>
        <w:t xml:space="preserve"> administration,” said Pierre S. Sayad, PhD, M.S., chief medical officer of Fennec Pharmaceuticals.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safety profile was consistent with the known tolerability profile of PEDMARK</w:t>
      </w:r>
      <w:r>
        <w:rPr>
          <w:rFonts w:ascii="Times New Roman;Times;serif" w:hAnsi="Times New Roman;Times;serif"/>
          <w:sz w:val="15"/>
        </w:rPr>
        <w:t>®</w:t>
      </w:r>
      <w:r>
        <w:rPr>
          <w:rFonts w:ascii="Times New Roman;Times;serif" w:hAnsi="Times New Roman;Times;serif"/>
          <w:sz w:val="20"/>
        </w:rPr>
        <w:t xml:space="preserve"> and the expected toxicities of cisplatin-containing chemotherapy. No serious adverse event was attributed to PEDMARK</w:t>
      </w:r>
      <w:r>
        <w:rPr>
          <w:rFonts w:ascii="Times New Roman;Times;serif" w:hAnsi="Times New Roman;Times;serif"/>
          <w:sz w:val="15"/>
        </w:rPr>
        <w:t>®</w:t>
      </w:r>
      <w:r>
        <w:rPr>
          <w:rFonts w:ascii="Times New Roman;Times;serif" w:hAnsi="Times New Roman;Times;serif"/>
          <w:sz w:val="20"/>
        </w:rPr>
        <w:t>, and no Grade 4 PEDMARK</w:t>
      </w:r>
      <w:r>
        <w:rPr>
          <w:rFonts w:ascii="Times New Roman;Times;serif" w:hAnsi="Times New Roman;Times;serif"/>
          <w:sz w:val="15"/>
        </w:rPr>
        <w:t>®</w:t>
      </w:r>
      <w:r>
        <w:rPr>
          <w:rFonts w:ascii="Times New Roman;Times;serif" w:hAnsi="Times New Roman;Times;serif"/>
          <w:sz w:val="20"/>
        </w:rPr>
        <w:t>-related toxicity was observed.</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0"/>
        </w:rPr>
        <w:t xml:space="preserve">For patients navigating cancer in Japan, the ability to successfully treat their tumors while preserving hearing can have a profound impact on their lives long after treatment ends. Cisplatin remains an important and effective treatment, but the risk of permanent hearing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represents a significant unmet need, particularly for children and young people who may live with its consequences for the rest of their lives,” said Eiso Hiyama, M.D., PhD, lead investigator and professor in the Department of Pediatric Surgery at Hiroshima University Hospital in Hiroshima, Japan. “The results from STS-J01 are encouraging because they demonstrate significant hearing protection and provide reassuring clinical context regarding antitumor activity with delayed PEDMARK</w:t>
      </w:r>
      <w:r>
        <w:rPr>
          <w:rFonts w:ascii="Times New Roman;Times;serif" w:hAnsi="Times New Roman;Times;serif"/>
          <w:sz w:val="15"/>
        </w:rPr>
        <w:t>®</w:t>
      </w:r>
      <w:r>
        <w:rPr>
          <w:rFonts w:ascii="Times New Roman;Times;serif" w:hAnsi="Times New Roman;Times;serif"/>
          <w:sz w:val="20"/>
        </w:rPr>
        <w:t xml:space="preserve"> administration. We believe that these results provide further support and confidence in PEDMARK</w:t>
      </w:r>
      <w:r>
        <w:rPr>
          <w:rFonts w:ascii="Times New Roman;Times;serif" w:hAnsi="Times New Roman;Times;serif"/>
          <w:sz w:val="15"/>
        </w:rPr>
        <w:t>®</w:t>
      </w:r>
      <w:r>
        <w:rPr>
          <w:rFonts w:ascii="Times New Roman;Times;serif" w:hAnsi="Times New Roman;Times;serif"/>
          <w:sz w:val="20"/>
        </w:rPr>
        <w:t xml:space="preserve"> for healthcare professionals.”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Fennec is pursuing registration in Japan and is currently exploring partnering or licensing opportunities for PEDMARK</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the STS-J01 Study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STS-J01 is a Phase 2, investigator-initiated, open-label, single-arm clinical trial designed to evaluate PEDMARK</w:t>
      </w:r>
      <w:r>
        <w:rPr>
          <w:rFonts w:ascii="Times New Roman;Times;serif" w:hAnsi="Times New Roman;Times;serif"/>
          <w:sz w:val="15"/>
        </w:rPr>
        <w:t>®</w:t>
      </w:r>
      <w:r>
        <w:rPr>
          <w:rFonts w:ascii="Times New Roman;Times;serif" w:hAnsi="Times New Roman;Times;serif"/>
          <w:sz w:val="20"/>
        </w:rPr>
        <w:t xml:space="preserve"> for the prevention of cisplatin-induced ototoxicity. The study enrolled 33 patients in two cohorts: 27 children ages 3-18 years (primary cohort), and 6 patients in exploratory cohorts, all with localized-stage solid tumors, including neuroblastoma, hepatoblastoma, germ cell tumors, bone and soft tissue sarcomas, medulloblastoma, and atypical teratoid rhabdoid tumors. Patients received PEDMARK</w:t>
      </w:r>
      <w:r>
        <w:rPr>
          <w:rFonts w:ascii="Times New Roman;Times;serif" w:hAnsi="Times New Roman;Times;serif"/>
          <w:sz w:val="15"/>
        </w:rPr>
        <w:t>®</w:t>
      </w:r>
      <w:r>
        <w:rPr>
          <w:rFonts w:ascii="Times New Roman;Times;serif" w:hAnsi="Times New Roman;Times;serif"/>
          <w:sz w:val="20"/>
        </w:rPr>
        <w:t xml:space="preserve"> intravenously six hours after cisplatin infusion, with dosing adjusted by body weight. The primary endpoint was the incidence of hearing impairment at the end of treatment in the 3- to 18-year-old cohort, assessed according to  American Speech-Language-Hearing Association (ASHA) criteria. Secondary endpoints included safety, antitumor efficacy, pharmacokinetics, and incidence of hearing loss as measured by Brock grading. Exploratory measures included longitudinal audiometric follow-up and validation of surrogate hearing tests.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About Cisplatin-Induced Ototoxicity</w:t>
      </w:r>
    </w:p>
    <w:p>
      <w:pPr>
        <w:pStyle w:val="TextBody"/>
        <w:bidi w:val="0"/>
        <w:spacing w:before="0" w:after="0"/>
        <w:ind w:left="0" w:right="0" w:hanging="0"/>
        <w:jc w:val="both"/>
        <w:rPr/>
      </w:pPr>
      <w:r>
        <w:rPr>
          <w:rFonts w:ascii="Times New Roman;Times;serif" w:hAnsi="Times New Roman;Times;serif"/>
          <w:sz w:val="20"/>
          <w:shd w:fill="FFFFFF" w:val="clear"/>
        </w:rPr>
        <w:t>Cisplatin and other platinum-based chemotherapies are widely used to treat solid tumors and have been vital in improving survival rates. Unfortunately, these life-saving treatments often result in permanent, irreversible hearing loss, also known as ototoxicity.</w:t>
      </w:r>
      <w:hyperlink w:anchor="endnote-2">
        <w:r>
          <w:rPr>
            <w:rStyle w:val="InternetLink"/>
            <w:rFonts w:ascii="Times New Roman;Times;serif" w:hAnsi="Times New Roman;Times;serif"/>
            <w:sz w:val="15"/>
            <w:shd w:fill="FFFFFF" w:val="clear"/>
          </w:rPr>
          <w:t>i</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0"/>
          <w:shd w:fill="FFFFFF" w:val="clear"/>
        </w:rPr>
        <w:t>Hearing loss from cisplatin treatment is not rare. Studies show that between 60-90% of patients treated with cisplatin may develop hearing loss, depending upon the dose and duration of chemotherapy.</w:t>
      </w:r>
      <w:hyperlink w:anchor="endnote-3">
        <w:r>
          <w:rPr>
            <w:rStyle w:val="InternetLink"/>
            <w:rFonts w:ascii="Times New Roman;Times;serif" w:hAnsi="Times New Roman;Times;serif"/>
            <w:sz w:val="15"/>
            <w:shd w:fill="FFFFFF" w:val="clear"/>
          </w:rPr>
          <w:t>ii</w:t>
        </w:r>
      </w:hyperlink>
      <w:r>
        <w:rPr>
          <w:rFonts w:ascii="Times New Roman;Times;serif" w:hAnsi="Times New Roman;Times;serif"/>
          <w:sz w:val="20"/>
          <w:shd w:fill="FFFFFF" w:val="clear"/>
        </w:rPr>
        <w:t xml:space="preserve"> Many of those treated with cisplatin will require lifelong hearing aids or cochlear implants, which can be helpful for some, but do not reverse the hearing loss and can be costly over time.</w:t>
      </w:r>
      <w:hyperlink w:anchor="endnote-4">
        <w:r>
          <w:rPr>
            <w:rStyle w:val="InternetLink"/>
            <w:rFonts w:ascii="Times New Roman;Times;serif" w:hAnsi="Times New Roman;Times;serif"/>
            <w:sz w:val="15"/>
            <w:shd w:fill="FFFFFF" w:val="clear"/>
          </w:rPr>
          <w:t>iii</w:t>
        </w:r>
      </w:hyperlink>
      <w:r>
        <w:rPr>
          <w:rFonts w:ascii="Times New Roman;Times;serif" w:hAnsi="Times New Roman;Times;serif"/>
          <w:sz w:val="20"/>
          <w:shd w:fill="FFFFFF" w:val="clear"/>
        </w:rPr>
        <w:t> Treatment-induced hearing loss can reduce quality of survivorship as it impacts many aspects of life, such as speech and language skills, academic performance, social-emotional development, career potential and the ability to live independently.</w:t>
      </w:r>
      <w:hyperlink w:anchor="endnote-5">
        <w:r>
          <w:rPr>
            <w:rStyle w:val="InternetLink"/>
            <w:rFonts w:ascii="Times New Roman;Times;serif" w:hAnsi="Times New Roman;Times;serif"/>
            <w:sz w:val="15"/>
            <w:shd w:fill="FFFFFF" w:val="clear"/>
          </w:rPr>
          <w:t>iv</w:t>
        </w:r>
      </w:hyperlink>
      <w:r>
        <w:rPr>
          <w:rFonts w:ascii="Times New Roman;Times;serif" w:hAnsi="Times New Roman;Times;serif"/>
          <w:sz w:val="15"/>
          <w:shd w:fill="FFFFFF" w:val="clear"/>
        </w:rPr>
        <w:t>,</w:t>
      </w:r>
      <w:hyperlink w:anchor="endnote-6">
        <w:r>
          <w:rPr>
            <w:rStyle w:val="InternetLink"/>
            <w:rFonts w:ascii="Times New Roman;Times;serif" w:hAnsi="Times New Roman;Times;serif"/>
            <w:sz w:val="15"/>
            <w:shd w:fill="FFFFFF" w:val="clear"/>
          </w:rPr>
          <w:t>v</w:t>
        </w:r>
      </w:hyperlink>
      <w:r>
        <w:rPr>
          <w:rFonts w:ascii="Times New Roman;Times;serif" w:hAnsi="Times New Roman;Times;serif"/>
          <w:sz w:val="20"/>
          <w:shd w:fill="FFFFFF" w:val="clear"/>
        </w:rPr>
        <w:t> While audiologic monitoring is recommended to help manage ototoxicity, it is currently underutilized in certain cancer patient populations.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PEDMARK</w:t>
      </w:r>
      <w:r>
        <w:rPr>
          <w:rFonts w:ascii="Times New Roman;Times;serif" w:hAnsi="Times New Roman;Times;serif"/>
          <w:b/>
          <w:sz w:val="15"/>
          <w:shd w:fill="FFFFFF" w:val="clear"/>
        </w:rPr>
        <w:t>®</w:t>
      </w:r>
      <w:r>
        <w:rPr>
          <w:rFonts w:ascii="Times New Roman;Times;serif" w:hAnsi="Times New Roman;Times;serif"/>
          <w:sz w:val="20"/>
          <w:shd w:fill="FFFFFF" w:val="clear"/>
        </w:rPr>
        <w:t> </w:t>
      </w:r>
      <w:r>
        <w:rPr>
          <w:rFonts w:ascii="Times New Roman;Times;serif" w:hAnsi="Times New Roman;Times;serif"/>
          <w:b/>
          <w:sz w:val="20"/>
          <w:shd w:fill="FFFFFF" w:val="clear"/>
        </w:rPr>
        <w:t>(sodium thiosulfate injection)</w:t>
      </w:r>
    </w:p>
    <w:p>
      <w:pPr>
        <w:pStyle w:val="TextBody"/>
        <w:bidi w:val="0"/>
        <w:spacing w:before="0" w:after="0"/>
        <w:ind w:left="0" w:right="0" w:hanging="0"/>
        <w:jc w:val="both"/>
        <w:rPr/>
      </w:pPr>
      <w:r>
        <w:rPr>
          <w:shd w:fill="FFFFFF" w:val="clear"/>
        </w:rPr>
        <w:t>​</w:t>
      </w:r>
      <w:r>
        <w:rPr>
          <w:rFonts w:ascii="Times New Roman;Times;serif" w:hAnsi="Times New Roman;Times;serif"/>
          <w:sz w:val="20"/>
          <w:shd w:fill="FFFFFF" w:val="clear"/>
        </w:rPr>
        <w:br/>
        <w:t>PEDMARK</w:t>
      </w:r>
      <w:r>
        <w:rPr>
          <w:rFonts w:ascii="Times New Roman;Times;serif" w:hAnsi="Times New Roman;Times;serif"/>
          <w:sz w:val="15"/>
          <w:shd w:fill="FFFFFF" w:val="clear"/>
        </w:rPr>
        <w:t>®</w:t>
      </w:r>
      <w:r>
        <w:rPr>
          <w:rFonts w:ascii="Times New Roman;Times;serif" w:hAnsi="Times New Roman;Times;serif"/>
          <w:sz w:val="20"/>
          <w:shd w:fill="FFFFFF" w:val="clear"/>
        </w:rPr>
        <w:t> is the first and only U.S. Food and Drug Administration (FDA) approved therapy indicated to reduce the risk of ototoxicity associated with cisplatin treatment in pediatric patients 1 month of age and older with localized, non-metastatic, solid tumors. It is a unique formulation of sodium thiosulfate in single-dose, ready-to-use vials for intravenous use in pediatric patients. PEDMARK is also the first and only therapeutic agent with proven efficacy and safety data with an established dosing regimen, across two open-label, randomized Phase 3 clinical studies, the Children’s Oncology Group (COG) Protocol ACCL0431 and SIOPEL 6.</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Additionally, PEDMARK</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is recommended for the adolescent and young adult (AYA) population by the National Comprehensive Cancer Network, or NCCN, with a 2A endorsement.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0"/>
          <w:shd w:fill="FFFFFF" w:val="clear"/>
        </w:rPr>
        <w:t>Approximately 500,000 patients in the U.S. are diagnosed annually with cancers that could be treated with a platinum-based chemotherapy.</w:t>
      </w:r>
      <w:hyperlink w:anchor="endnote-7">
        <w:r>
          <w:rPr>
            <w:rStyle w:val="InternetLink"/>
            <w:rFonts w:ascii="Times New Roman;Times;serif" w:hAnsi="Times New Roman;Times;serif"/>
            <w:sz w:val="15"/>
            <w:shd w:fill="FFFFFF" w:val="clear"/>
          </w:rPr>
          <w:t>vi</w:t>
        </w:r>
      </w:hyperlink>
      <w:r>
        <w:rPr>
          <w:rFonts w:ascii="Times New Roman;Times;serif" w:hAnsi="Times New Roman;Times;serif"/>
          <w:sz w:val="15"/>
          <w:shd w:fill="FFFFFF" w:val="clear"/>
        </w:rPr>
        <w:t>,</w:t>
      </w:r>
      <w:hyperlink w:anchor="endnote-8">
        <w:r>
          <w:rPr>
            <w:rStyle w:val="InternetLink"/>
            <w:rFonts w:ascii="Times New Roman;Times;serif" w:hAnsi="Times New Roman;Times;serif"/>
            <w:sz w:val="15"/>
            <w:shd w:fill="FFFFFF" w:val="clear"/>
          </w:rPr>
          <w:t>vii</w:t>
        </w:r>
      </w:hyperlink>
      <w:r>
        <w:rPr>
          <w:rFonts w:ascii="Times New Roman;Times;serif" w:hAnsi="Times New Roman;Times;serif"/>
          <w:sz w:val="20"/>
          <w:shd w:fill="FFFFFF" w:val="clear"/>
        </w:rPr>
        <w:t xml:space="preserve"> The incidence of ototoxicity depends upon the dose and duration of chemotherapy, and many of those treated will require lifelong hearing aids. Until the FDA approval of PEDMARK, there were no preventative agents for this hearing loss. Patients with hearing loss resulting from cancer treatment have a statistically significant worse quality of life compared with peers who have no hearing loss.</w:t>
      </w:r>
      <w:hyperlink w:anchor="endnote-9">
        <w:r>
          <w:rPr>
            <w:rStyle w:val="InternetLink"/>
            <w:rFonts w:ascii="Times New Roman;Times;serif" w:hAnsi="Times New Roman;Times;serif"/>
            <w:sz w:val="15"/>
            <w:shd w:fill="FFFFFF" w:val="clear"/>
          </w:rPr>
          <w:t>viii</w:t>
        </w:r>
      </w:hyperlink>
      <w:r>
        <w:rPr>
          <w:rFonts w:ascii="Times New Roman;Times;serif" w:hAnsi="Times New Roman;Times;serif"/>
          <w:sz w:val="15"/>
          <w:shd w:fill="FFFFFF" w:val="clear"/>
        </w:rPr>
        <w:t>,</w:t>
      </w:r>
      <w:hyperlink w:anchor="endnote-10">
        <w:r>
          <w:rPr>
            <w:rStyle w:val="InternetLink"/>
            <w:rFonts w:ascii="Times New Roman;Times;serif" w:hAnsi="Times New Roman;Times;serif"/>
            <w:sz w:val="15"/>
            <w:shd w:fill="FFFFFF" w:val="clear"/>
          </w:rPr>
          <w:t>ix</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Indications and Usage</w:t>
      </w:r>
      <w:r>
        <w:rPr>
          <w:rFonts w:ascii="Times New Roman;Times;serif" w:hAnsi="Times New Roman;Times;serif"/>
          <w:sz w:val="20"/>
          <w:shd w:fill="FFFFFF" w:val="clear"/>
        </w:rPr>
        <w:br/>
        <w:t>PEDMARK</w:t>
      </w:r>
      <w:r>
        <w:rPr>
          <w:rFonts w:ascii="Times New Roman;Times;serif" w:hAnsi="Times New Roman;Times;serif"/>
          <w:sz w:val="15"/>
          <w:shd w:fill="FFFFFF" w:val="clear"/>
        </w:rPr>
        <w:t>®</w:t>
      </w:r>
      <w:r>
        <w:rPr>
          <w:rFonts w:ascii="Times New Roman;Times;serif" w:hAnsi="Times New Roman;Times;serif"/>
          <w:sz w:val="20"/>
          <w:shd w:fill="FFFFFF" w:val="clear"/>
        </w:rPr>
        <w:t> (sodium thiosulfate injection) is indicated to reduce the risk of ototoxicity associated with cisplatin in pediatric patients 1 month of age and older with localized, non-metastatic solid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Limitations of Use</w:t>
      </w:r>
      <w:r>
        <w:rPr>
          <w:rFonts w:ascii="Times New Roman;Times;serif" w:hAnsi="Times New Roman;Times;serif"/>
          <w:sz w:val="20"/>
          <w:shd w:fill="FFFFFF" w:val="clear"/>
        </w:rPr>
        <w:b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pStyle w:val="TextBody"/>
        <w:bidi w:val="0"/>
        <w:spacing w:before="0" w:after="0"/>
        <w:ind w:left="0" w:right="0" w:hanging="0"/>
        <w:jc w:val="both"/>
        <w:rPr>
          <w:shd w:fill="FFFFFF" w:val="clear"/>
        </w:rPr>
      </w:pPr>
      <w:r>
        <w:rPr>
          <w:shd w:fill="FFFFFF" w:val="clea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Important Safety Information</w:t>
      </w:r>
      <w:r>
        <w:rPr>
          <w:rFonts w:ascii="Times New Roman;Times;serif" w:hAnsi="Times New Roman;Times;serif"/>
          <w:sz w:val="20"/>
          <w:shd w:fill="FFFFFF" w:val="clear"/>
        </w:rPr>
        <w:br/>
        <w:t>PEDMARK is contraindicated in patients with history of a severe hypersensitivity to sodium thiosulfate or any of its components.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PEDMARK is not indicated for use in pediatric patients less than 1 month of age due to the increased risk of hypernatremia or in pediatric patients with metastatic cancers.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Monitor for signs and symptoms of hypernatremia and hypokalemia more closely if the glomerular filtration rate (GFR) falls below 60 mL/min/1.73m</w:t>
      </w:r>
      <w:r>
        <w:rPr>
          <w:rFonts w:ascii="Times New Roman;Times;serif" w:hAnsi="Times New Roman;Times;serif"/>
          <w:sz w:val="15"/>
          <w:shd w:fill="FFFFFF" w:val="clear"/>
        </w:rPr>
        <w:t>2</w:t>
      </w:r>
      <w:r>
        <w:rPr>
          <w:rFonts w:ascii="Times New Roman;Times;serif" w:hAnsi="Times New Roman;Times;serif"/>
          <w:sz w:val="20"/>
          <w:shd w:fill="FFFFFF" w:val="clea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Administer antiemetics prior to each PEDMARK administration. Provide additional antiemetics and supportive care as appropriate.</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Please see full Prescribing Information for PEDMARK</w:t>
      </w:r>
      <w:r>
        <w:rPr>
          <w:rFonts w:ascii="Times New Roman;Times;serif" w:hAnsi="Times New Roman;Times;serif"/>
          <w:sz w:val="15"/>
          <w:shd w:fill="FFFFFF" w:val="clear"/>
        </w:rPr>
        <w:t>®</w:t>
      </w:r>
      <w:r>
        <w:rPr>
          <w:rFonts w:ascii="Times New Roman;Times;serif" w:hAnsi="Times New Roman;Times;serif"/>
          <w:sz w:val="20"/>
          <w:shd w:fill="FFFFFF" w:val="clear"/>
        </w:rPr>
        <w:t> at: www.PEDMARK.com.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About Fennec Pharmaceuticals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Fennec Pharmaceuticals Inc. is a specialty pharmaceutical company committed to the fight against ototoxicity in cancer patients who receive cisplatin-based chemotherapy. Fennec is focused on the commercialization of PEDMARK</w:t>
      </w:r>
      <w:r>
        <w:rPr>
          <w:rFonts w:ascii="Times New Roman;Times;serif" w:hAnsi="Times New Roman;Times;serif"/>
          <w:sz w:val="15"/>
        </w:rPr>
        <w:t>®</w:t>
      </w:r>
      <w:r>
        <w:rPr>
          <w:rFonts w:ascii="Times New Roman;Times;serif" w:hAnsi="Times New Roman;Times;serif"/>
          <w:sz w:val="20"/>
        </w:rPr>
        <w:t xml:space="preserve"> to reduce the risk of platinum-induced ototoxicity in cancer patients. PEDMARK received FDA approval in September 2022 and European Commission approval in June 2023 and United Kingdom (U.K.) approval in October 2023 under the brand name PEDMARQSI</w:t>
      </w:r>
      <w:r>
        <w:rPr>
          <w:rFonts w:ascii="Times New Roman;Times;serif" w:hAnsi="Times New Roman;Times;serif"/>
          <w:sz w:val="15"/>
          <w:shd w:fill="FFFFFF" w:val="clear"/>
        </w:rPr>
        <w:t>Ò</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2024, Fennec entered into an exclusive licensing agreement under which Norgine Pharmaceuticals Ltd., a leading European specialist pharmaceutical company, will commercialize PEDMARQSI</w:t>
      </w:r>
      <w:r>
        <w:rPr>
          <w:rFonts w:ascii="Times New Roman;Times;serif" w:hAnsi="Times New Roman;Times;serif"/>
          <w:sz w:val="15"/>
        </w:rPr>
        <w:t>®</w:t>
      </w:r>
      <w:r>
        <w:rPr>
          <w:rFonts w:ascii="Times New Roman;Times;serif" w:hAnsi="Times New Roman;Times;serif"/>
          <w:sz w:val="20"/>
        </w:rPr>
        <w:t> in Europe, U.K., Australia and New Zealand. PEDMARQSI is now commercially available in multiple countries.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PEDMARK has received Orphan Drug Exclusivity in the U.S. and PEDMARQSI has received Pediatric Use Marketing Authorization in Europe which includes eight years plus two years of data and market protection. Further, Fennec has patents providing protection for PEDMARK until 2039 in both the U.S. and internationally.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more information, please visit www.fennecpharma.com and follow on LinkedIn.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Forward 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w:t>
      </w:r>
      <w:r>
        <w:rPr>
          <w:rFonts w:ascii="Times New Roman;Times;serif" w:hAnsi="Times New Roman;Times;serif"/>
          <w:i/>
          <w:sz w:val="15"/>
        </w:rPr>
        <w:t>®</w:t>
      </w:r>
      <w:r>
        <w:rPr>
          <w:rFonts w:ascii="Times New Roman;Times;serif" w:hAnsi="Times New Roman;Times;serif"/>
          <w:i/>
          <w:sz w:val="20"/>
        </w:rPr>
        <w:t>/PEDMARQSI</w:t>
      </w:r>
      <w:r>
        <w:rPr>
          <w:rFonts w:ascii="Times New Roman;Times;serif" w:hAnsi="Times New Roman;Times;serif"/>
          <w:i/>
          <w:sz w:val="15"/>
        </w:rPr>
        <w:t>®</w:t>
      </w:r>
      <w:r>
        <w:rPr>
          <w:rFonts w:ascii="Times New Roman;Times;serif" w:hAnsi="Times New Roman;Times;serif"/>
          <w:i/>
          <w:sz w:val="20"/>
        </w:rPr>
        <w:t>, the market opportunity for and market impact of PEDMARK</w:t>
      </w:r>
      <w:r>
        <w:rPr>
          <w:rFonts w:ascii="Times New Roman;Times;serif" w:hAnsi="Times New Roman;Times;serif"/>
          <w:i/>
          <w:sz w:val="15"/>
        </w:rPr>
        <w:t>®</w:t>
      </w:r>
      <w:r>
        <w:rPr>
          <w:rFonts w:ascii="Times New Roman;Times;serif" w:hAnsi="Times New Roman;Times;serif"/>
          <w:i/>
          <w:sz w:val="20"/>
        </w:rPr>
        <w:t>/ PEDMARQSI</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its potential impact on patients and anticipated benefits associated with its use, future</w:t>
      </w:r>
      <w:r>
        <w:rPr>
          <w:rFonts w:ascii="Times New Roman;Times;serif" w:hAnsi="Times New Roman;Times;serif"/>
          <w:sz w:val="20"/>
        </w:rPr>
        <w:t xml:space="preserve"> </w:t>
      </w:r>
      <w:r>
        <w:rPr>
          <w:rFonts w:ascii="Times New Roman;Times;serif" w:hAnsi="Times New Roman;Times;serif"/>
          <w:i/>
          <w:sz w:val="20"/>
        </w:rPr>
        <w:t>commercial and regulatory milestone and royalty payments from Norgine,</w:t>
      </w:r>
      <w:r>
        <w:rPr>
          <w:rFonts w:ascii="Times New Roman;Times;serif" w:hAnsi="Times New Roman;Times;serif"/>
          <w:sz w:val="20"/>
        </w:rPr>
        <w:t xml:space="preserve"> </w:t>
      </w:r>
      <w:r>
        <w:rPr>
          <w:rFonts w:ascii="Times New Roman;Times;serif" w:hAnsi="Times New Roman;Times;serif"/>
          <w:i/>
          <w:sz w:val="20"/>
        </w:rPr>
        <w:t>potential regional partnering or licensing opportunities for PEDMARK</w:t>
      </w:r>
      <w:r>
        <w:rPr>
          <w:rFonts w:ascii="Times New Roman;Times;serif" w:hAnsi="Times New Roman;Times;serif"/>
          <w:i/>
          <w:sz w:val="15"/>
        </w:rPr>
        <w:t>®</w:t>
      </w:r>
      <w:r>
        <w:rPr>
          <w:rFonts w:ascii="Times New Roman;Times;serif" w:hAnsi="Times New Roman;Times;serif"/>
          <w:i/>
          <w:sz w:val="20"/>
        </w:rPr>
        <w:t>/PEDMARQSI</w:t>
      </w:r>
      <w:r>
        <w:rPr>
          <w:rFonts w:ascii="Times New Roman;Times;serif" w:hAnsi="Times New Roman;Times;serif"/>
          <w:i/>
          <w:sz w:val="15"/>
        </w:rPr>
        <w:t>®</w:t>
      </w:r>
      <w:r>
        <w:rPr>
          <w:rFonts w:ascii="Times New Roman;Times;serif" w:hAnsi="Times New Roman;Times;serif"/>
          <w:i/>
          <w:sz w:val="20"/>
        </w:rPr>
        <w:t>,</w:t>
      </w:r>
      <w:r>
        <w:rPr>
          <w:rFonts w:ascii="Times New Roman;Times;serif" w:hAnsi="Times New Roman;Times;serif"/>
          <w:sz w:val="20"/>
        </w:rPr>
        <w:t xml:space="preserve"> </w:t>
      </w:r>
      <w:r>
        <w:rPr>
          <w:rFonts w:ascii="Times New Roman;Times;serif" w:hAnsi="Times New Roman;Times;serif"/>
          <w:i/>
          <w:sz w:val="20"/>
        </w:rPr>
        <w:t>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2025. Fennec disclaims any obligation to update these forward-looking statements except as required by law.</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For a more detailed discussion of related risk factors, please refer to our public filings available at www.sec.gov</w:t>
      </w:r>
      <w:r>
        <w:rPr>
          <w:rFonts w:ascii="Times New Roman;Times;serif" w:hAnsi="Times New Roman;Times;serif"/>
          <w:sz w:val="20"/>
          <w:shd w:fill="FFFFFF" w:val="clear"/>
        </w:rPr>
        <w:t> </w:t>
      </w:r>
      <w:r>
        <w:rPr>
          <w:rFonts w:ascii="Times New Roman;Times;serif" w:hAnsi="Times New Roman;Times;serif"/>
          <w:i/>
          <w:sz w:val="20"/>
          <w:shd w:fill="FFFFFF" w:val="clear"/>
        </w:rPr>
        <w:t>and www.sedar.com.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PEDMARK</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w:t>
      </w:r>
      <w:r>
        <w:rPr>
          <w:rFonts w:ascii="Times New Roman;Times;serif" w:hAnsi="Times New Roman;Times;serif"/>
          <w:sz w:val="20"/>
        </w:rPr>
        <w:t>PEDMARQSI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sz w:val="20"/>
          <w:shd w:fill="FFFFFF" w:val="clear"/>
        </w:rPr>
        <w:t>and Fennec</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are registered trademarks of Fennec Pharmaceuticals Inc.</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©2026 Fennec Pharmaceuticals Inc. All rights reserved.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For further information, please contact: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Investors:</w:t>
      </w:r>
      <w:r>
        <w:rPr>
          <w:rFonts w:ascii="Times New Roman;Times;serif" w:hAnsi="Times New Roman;Times;serif"/>
          <w:sz w:val="20"/>
          <w:shd w:fill="FFFFFF" w:val="clear"/>
        </w:rPr>
        <w:br/>
      </w:r>
      <w:r>
        <w:rPr>
          <w:rFonts w:ascii="Times New Roman;Times;serif" w:hAnsi="Times New Roman;Times;serif"/>
          <w:sz w:val="20"/>
        </w:rPr>
        <w:t>Robert Andrade</w:t>
        <w:br/>
        <w:t>Chief Financial Officer</w:t>
        <w:br/>
        <w:t>Fennec Pharmaceuticals Inc.</w:t>
        <w:br/>
        <w:t>+1 919-246-5299</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Corporate and Media:</w:t>
      </w:r>
      <w:r>
        <w:rPr>
          <w:rFonts w:ascii="Times New Roman;Times;serif" w:hAnsi="Times New Roman;Times;serif"/>
          <w:sz w:val="20"/>
          <w:shd w:fill="FFFFFF" w:val="clear"/>
        </w:rPr>
        <w:br/>
        <w:t xml:space="preserve">Lindsay Rocco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Elixir Health Public Relations</w:t>
        <w:br/>
        <w:t>+1 862-596-1304</w:t>
        <w:br/>
        <w:t>lrocco@elixirhealthpr.com</w:t>
      </w:r>
    </w:p>
    <w:p>
      <w:pPr>
        <w:pStyle w:val="TextBody"/>
        <w:bidi w:val="0"/>
        <w:spacing w:before="0" w:after="0"/>
        <w:ind w:left="0" w:right="0" w:hanging="0"/>
        <w:jc w:val="left"/>
        <w:rPr>
          <w:rFonts w:ascii="Times New Roman;Times;serif" w:hAnsi="Times New Roman;Times;serif"/>
          <w:sz w:val="20"/>
        </w:rPr>
      </w:pPr>
      <w:bookmarkStart w:id="53" w:name="endnote-2"/>
      <w:bookmarkEnd w:id="53"/>
      <w:r>
        <w:rPr>
          <w:rFonts w:ascii="Times New Roman;Times;serif" w:hAnsi="Times New Roman;Times;serif"/>
          <w:sz w:val="15"/>
        </w:rPr>
        <w:t>i</w:t>
      </w:r>
      <w:r>
        <w:rPr>
          <w:rFonts w:ascii="Times New Roman;Times;serif" w:hAnsi="Times New Roman;Times;serif"/>
          <w:sz w:val="20"/>
        </w:rPr>
        <w:t xml:space="preserve"> Sheth S et al. Mechanisms of Cisplatin Ototoxicity and Progress in Otoprotection. </w:t>
      </w:r>
      <w:r>
        <w:rPr>
          <w:rFonts w:ascii="Times New Roman;Times;serif" w:hAnsi="Times New Roman;Times;serif"/>
          <w:i/>
          <w:sz w:val="20"/>
        </w:rPr>
        <w:t>Frontiers in Cellular Neuroscience</w:t>
      </w:r>
      <w:r>
        <w:rPr>
          <w:rFonts w:ascii="Times New Roman;Times;serif" w:hAnsi="Times New Roman;Times;serif"/>
          <w:sz w:val="20"/>
        </w:rPr>
        <w:t>. 2017, Vol. 11.</w:t>
      </w:r>
    </w:p>
    <w:p>
      <w:pPr>
        <w:pStyle w:val="TextBody"/>
        <w:bidi w:val="0"/>
        <w:spacing w:before="0" w:after="0"/>
        <w:ind w:left="0" w:right="0" w:hanging="0"/>
        <w:jc w:val="left"/>
        <w:rPr>
          <w:rFonts w:ascii="Times New Roman;Times;serif" w:hAnsi="Times New Roman;Times;serif"/>
          <w:sz w:val="20"/>
        </w:rPr>
      </w:pPr>
      <w:bookmarkStart w:id="54" w:name="endnote-3"/>
      <w:bookmarkEnd w:id="54"/>
      <w:r>
        <w:rPr>
          <w:rFonts w:ascii="Times New Roman;Times;serif" w:hAnsi="Times New Roman;Times;serif"/>
          <w:sz w:val="15"/>
        </w:rPr>
        <w:t>ii</w:t>
      </w:r>
      <w:r>
        <w:rPr>
          <w:rFonts w:ascii="Times New Roman;Times;serif" w:hAnsi="Times New Roman;Times;serif"/>
          <w:sz w:val="20"/>
        </w:rPr>
        <w:t xml:space="preserve"> Langer T, am Zehnhoff-Dinnesen A, Radtke S, Meitert J, Zolk O. Understanding platinum-induced ototoxicity. </w:t>
      </w:r>
      <w:r>
        <w:rPr>
          <w:rFonts w:ascii="Times New Roman;Times;serif" w:hAnsi="Times New Roman;Times;serif"/>
          <w:i/>
          <w:sz w:val="20"/>
        </w:rPr>
        <w:t>Trends Pharmacol Sci</w:t>
      </w:r>
      <w:r>
        <w:rPr>
          <w:rFonts w:ascii="Times New Roman;Times;serif" w:hAnsi="Times New Roman;Times;serif"/>
          <w:sz w:val="20"/>
        </w:rPr>
        <w:t>. 2013;34(8):458-469</w:t>
      </w:r>
    </w:p>
    <w:p>
      <w:pPr>
        <w:pStyle w:val="TextBody"/>
        <w:bidi w:val="0"/>
        <w:spacing w:before="0" w:after="0"/>
        <w:ind w:left="0" w:right="0" w:hanging="0"/>
        <w:jc w:val="left"/>
        <w:rPr>
          <w:rFonts w:ascii="Times New Roman;Times;serif" w:hAnsi="Times New Roman;Times;serif"/>
          <w:sz w:val="20"/>
        </w:rPr>
      </w:pPr>
      <w:bookmarkStart w:id="55" w:name="endnote-4"/>
      <w:bookmarkEnd w:id="55"/>
      <w:r>
        <w:rPr>
          <w:rFonts w:ascii="Times New Roman;Times;serif" w:hAnsi="Times New Roman;Times;serif"/>
          <w:sz w:val="15"/>
        </w:rPr>
        <w:t>iii</w:t>
      </w:r>
      <w:r>
        <w:rPr>
          <w:rFonts w:ascii="Times New Roman;Times;serif" w:hAnsi="Times New Roman;Times;serif"/>
          <w:sz w:val="20"/>
        </w:rPr>
        <w:t xml:space="preserve"> Landier W. Ototoxicity and Cancer Therapy. </w:t>
      </w:r>
      <w:r>
        <w:rPr>
          <w:rFonts w:ascii="Times New Roman;Times;serif" w:hAnsi="Times New Roman;Times;serif"/>
          <w:i/>
          <w:sz w:val="20"/>
        </w:rPr>
        <w:t>Cancer</w:t>
      </w:r>
      <w:r>
        <w:rPr>
          <w:rFonts w:ascii="Times New Roman;Times;serif" w:hAnsi="Times New Roman;Times;serif"/>
          <w:sz w:val="20"/>
        </w:rPr>
        <w:t>. June 2016 Vol. 122, No.11: 1647-1658</w:t>
      </w:r>
      <w:r>
        <w:rPr>
          <w:rFonts w:ascii="Times New Roman;Times;serif" w:hAnsi="Times New Roman;Times;serif"/>
          <w:sz w:val="20"/>
          <w:shd w:fill="FFFFFF" w:val="clear"/>
        </w:rPr>
        <w:t>.</w:t>
      </w:r>
    </w:p>
    <w:p>
      <w:pPr>
        <w:pStyle w:val="TextBody"/>
        <w:bidi w:val="0"/>
        <w:spacing w:before="0" w:after="0"/>
        <w:ind w:left="0" w:right="0" w:hanging="0"/>
        <w:jc w:val="left"/>
        <w:rPr>
          <w:rFonts w:ascii="Times New Roman;Times;serif" w:hAnsi="Times New Roman;Times;serif"/>
          <w:sz w:val="20"/>
        </w:rPr>
      </w:pPr>
      <w:bookmarkStart w:id="56" w:name="endnote-5"/>
      <w:bookmarkEnd w:id="56"/>
      <w:r>
        <w:rPr>
          <w:rFonts w:ascii="Times New Roman;Times;serif" w:hAnsi="Times New Roman;Times;serif"/>
          <w:sz w:val="15"/>
        </w:rPr>
        <w:t>iv</w:t>
      </w:r>
      <w:r>
        <w:rPr>
          <w:rFonts w:ascii="Times New Roman;Times;serif" w:hAnsi="Times New Roman;Times;serif"/>
          <w:sz w:val="20"/>
        </w:rPr>
        <w:t xml:space="preserve"> Clemens E, van den Heuvel-Eibrink MM, Mulder RL, et al. Recommendations for ototoxicity surveillance for childhood, adolescent, and young adult cancer survivors: a report from the International Late Effects of Childhood Cancer Guideline Harmonization Group in collaboration with the PanCare Consortium. </w:t>
      </w:r>
      <w:r>
        <w:rPr>
          <w:rFonts w:ascii="Times New Roman;Times;serif" w:hAnsi="Times New Roman;Times;serif"/>
          <w:i/>
          <w:sz w:val="20"/>
        </w:rPr>
        <w:t>Lancet Oncol</w:t>
      </w:r>
      <w:r>
        <w:rPr>
          <w:rFonts w:ascii="Times New Roman;Times;serif" w:hAnsi="Times New Roman;Times;serif"/>
          <w:sz w:val="20"/>
        </w:rPr>
        <w:t>. 2019;20(1):e29-e41</w:t>
      </w:r>
    </w:p>
    <w:p>
      <w:pPr>
        <w:pStyle w:val="TextBody"/>
        <w:bidi w:val="0"/>
        <w:spacing w:before="0" w:after="0"/>
        <w:ind w:left="0" w:right="0" w:hanging="0"/>
        <w:jc w:val="left"/>
        <w:rPr>
          <w:rFonts w:ascii="Times New Roman;Times;serif" w:hAnsi="Times New Roman;Times;serif"/>
          <w:sz w:val="20"/>
        </w:rPr>
      </w:pPr>
      <w:bookmarkStart w:id="57" w:name="endnote-6"/>
      <w:bookmarkEnd w:id="57"/>
      <w:r>
        <w:rPr>
          <w:rFonts w:ascii="Times New Roman;Times;serif" w:hAnsi="Times New Roman;Times;serif"/>
          <w:sz w:val="15"/>
        </w:rPr>
        <w:t>v</w:t>
      </w:r>
      <w:r>
        <w:rPr>
          <w:rFonts w:ascii="Times New Roman;Times;serif" w:hAnsi="Times New Roman;Times;serif"/>
          <w:sz w:val="20"/>
        </w:rPr>
        <w:t xml:space="preserve"> Bass JK, Knight KR, Yock TI, Chang KW, Cipkala D, Grewal SS. Evaluation and management of hearing loss in survivors of childhood and adolescent cancers: a report from the children’s oncology group. </w:t>
      </w:r>
      <w:r>
        <w:rPr>
          <w:rFonts w:ascii="Times New Roman;Times;serif" w:hAnsi="Times New Roman;Times;serif"/>
          <w:i/>
          <w:sz w:val="20"/>
        </w:rPr>
        <w:t>Pediatr Blood Cancer</w:t>
      </w:r>
      <w:r>
        <w:rPr>
          <w:rFonts w:ascii="Times New Roman;Times;serif" w:hAnsi="Times New Roman;Times;serif"/>
          <w:sz w:val="20"/>
        </w:rPr>
        <w:t>. 2016;63(7):1152-1162.</w:t>
      </w:r>
    </w:p>
    <w:p>
      <w:pPr>
        <w:pStyle w:val="TextBody"/>
        <w:bidi w:val="0"/>
        <w:spacing w:before="0" w:after="0"/>
        <w:ind w:left="0" w:right="0" w:hanging="0"/>
        <w:jc w:val="left"/>
        <w:rPr>
          <w:rFonts w:ascii="Times New Roman;Times;serif" w:hAnsi="Times New Roman;Times;serif"/>
          <w:sz w:val="20"/>
        </w:rPr>
      </w:pPr>
      <w:bookmarkStart w:id="58" w:name="endnote-7"/>
      <w:bookmarkEnd w:id="58"/>
      <w:r>
        <w:rPr>
          <w:rFonts w:ascii="Times New Roman;Times;serif" w:hAnsi="Times New Roman;Times;serif"/>
          <w:sz w:val="15"/>
        </w:rPr>
        <w:t>vi</w:t>
      </w:r>
      <w:r>
        <w:rPr>
          <w:rFonts w:ascii="Times New Roman;Times;serif" w:hAnsi="Times New Roman;Times;serif"/>
          <w:sz w:val="20"/>
        </w:rPr>
        <w:t xml:space="preserve"> Chattaraj A et al. Cisplatin-Induced Ototoxicity: A Concise Review of the Burden, Prevention, and Interception Strategies. </w:t>
      </w:r>
      <w:r>
        <w:rPr>
          <w:rFonts w:ascii="Times New Roman;Times;serif" w:hAnsi="Times New Roman;Times;serif"/>
          <w:i/>
          <w:sz w:val="20"/>
        </w:rPr>
        <w:t>JCO Oncol Pract</w:t>
      </w:r>
      <w:r>
        <w:rPr>
          <w:rFonts w:ascii="Times New Roman;Times;serif" w:hAnsi="Times New Roman;Times;serif"/>
          <w:sz w:val="20"/>
        </w:rPr>
        <w:t>. 2023;19</w:t>
      </w:r>
    </w:p>
    <w:p>
      <w:pPr>
        <w:pStyle w:val="TextBody"/>
        <w:bidi w:val="0"/>
        <w:spacing w:before="0" w:after="0"/>
        <w:ind w:left="0" w:right="0" w:hanging="0"/>
        <w:jc w:val="left"/>
        <w:rPr>
          <w:rFonts w:ascii="Times New Roman;Times;serif" w:hAnsi="Times New Roman;Times;serif"/>
          <w:sz w:val="20"/>
        </w:rPr>
      </w:pPr>
      <w:bookmarkStart w:id="59" w:name="endnote-8"/>
      <w:bookmarkEnd w:id="59"/>
      <w:r>
        <w:rPr>
          <w:rFonts w:ascii="Times New Roman;Times;serif" w:hAnsi="Times New Roman;Times;serif"/>
          <w:sz w:val="15"/>
        </w:rPr>
        <w:t>vii</w:t>
      </w:r>
      <w:r>
        <w:rPr>
          <w:rFonts w:ascii="Times New Roman;Times;serif" w:hAnsi="Times New Roman;Times;serif"/>
          <w:sz w:val="20"/>
        </w:rPr>
        <w:t xml:space="preserve"> Freyer DR et al. Effects of sodium thiosulfate versus observation on development of cisplatin-induced hearing loss in children with cancer (ACCL0431): a multicentre, randomised, controlled, open-label, phase 3 trial. </w:t>
      </w:r>
      <w:r>
        <w:rPr>
          <w:rFonts w:ascii="Times New Roman;Times;serif" w:hAnsi="Times New Roman;Times;serif"/>
          <w:i/>
          <w:sz w:val="20"/>
        </w:rPr>
        <w:t>Lancet Oncol</w:t>
      </w:r>
      <w:r>
        <w:rPr>
          <w:rFonts w:ascii="Times New Roman;Times;serif" w:hAnsi="Times New Roman;Times;serif"/>
          <w:sz w:val="20"/>
        </w:rPr>
        <w:t>. 2017;18(1):63-74.</w:t>
      </w:r>
    </w:p>
    <w:p>
      <w:pPr>
        <w:pStyle w:val="TextBody"/>
        <w:bidi w:val="0"/>
        <w:spacing w:before="0" w:after="0"/>
        <w:ind w:left="0" w:right="0" w:hanging="0"/>
        <w:jc w:val="left"/>
        <w:rPr>
          <w:rFonts w:ascii="Times New Roman;Times;serif" w:hAnsi="Times New Roman;Times;serif"/>
          <w:sz w:val="20"/>
        </w:rPr>
      </w:pPr>
      <w:bookmarkStart w:id="60" w:name="endnote-9"/>
      <w:bookmarkEnd w:id="60"/>
      <w:r>
        <w:rPr>
          <w:rFonts w:ascii="Times New Roman;Times;serif" w:hAnsi="Times New Roman;Times;serif"/>
          <w:sz w:val="15"/>
        </w:rPr>
        <w:t>viii</w:t>
      </w:r>
      <w:r>
        <w:rPr>
          <w:rFonts w:ascii="Times New Roman;Times;serif" w:hAnsi="Times New Roman;Times;serif"/>
          <w:sz w:val="20"/>
        </w:rPr>
        <w:t xml:space="preserve"> Rajput K, Edwards L, Brock P, Abiodun A, Simpkin P, Al-Malky G. Ototoxicity-induced hearing loss and quality of life in survivors of paediatric cancer</w:t>
      </w:r>
      <w:r>
        <w:rPr>
          <w:rFonts w:ascii="Times New Roman;Times;serif" w:hAnsi="Times New Roman;Times;serif"/>
          <w:i/>
          <w:sz w:val="20"/>
        </w:rPr>
        <w:t>. Int J Pediatr Otorhinolaryngol</w:t>
      </w:r>
      <w:r>
        <w:rPr>
          <w:rFonts w:ascii="Times New Roman;Times;serif" w:hAnsi="Times New Roman;Times;serif"/>
          <w:sz w:val="20"/>
        </w:rPr>
        <w:t>. 2020;138:110401. doi:10.1016/j.ijporl.2020.110401</w:t>
      </w:r>
    </w:p>
    <w:p>
      <w:pPr>
        <w:pStyle w:val="TextBody"/>
        <w:bidi w:val="0"/>
        <w:spacing w:before="0" w:after="0"/>
        <w:ind w:left="0" w:right="0" w:hanging="0"/>
        <w:jc w:val="left"/>
        <w:rPr>
          <w:rFonts w:ascii="Times New Roman;Times;serif" w:hAnsi="Times New Roman;Times;serif"/>
          <w:sz w:val="20"/>
        </w:rPr>
      </w:pPr>
      <w:bookmarkStart w:id="61" w:name="endnote-10"/>
      <w:bookmarkEnd w:id="61"/>
      <w:r>
        <w:rPr>
          <w:rFonts w:ascii="Times New Roman;Times;serif" w:hAnsi="Times New Roman;Times;serif"/>
          <w:sz w:val="15"/>
        </w:rPr>
        <w:t>ix</w:t>
      </w:r>
      <w:r>
        <w:rPr>
          <w:rFonts w:ascii="Times New Roman;Times;serif" w:hAnsi="Times New Roman;Times;serif"/>
          <w:sz w:val="20"/>
        </w:rPr>
        <w:t xml:space="preserve"> Bass JK, Knight KR, Yock TI, Chang KW, Cipkala D, Grewal SS. Evaluation and management of hearing loss in survivors of childhood and adolescent cancers: a report from the children’s oncology group. Pediatr Blood Cancer. 2016;63(7):1152-1162.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2953</Words>
  <Characters>17972</Characters>
  <CharactersWithSpaces>20972</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